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включения вложенного GBL-задания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e6898b917f657c85598b62cdcf0c050879adb3"/>
    <w:p>
      <w:pPr>
        <w:pStyle w:val="Heading1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9"/>
    <w:bookmarkStart w:id="10" w:name="синтаксис"/>
    <w:p>
      <w:pPr>
        <w:pStyle w:val="Heading2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10"/>
    <w:bookmarkStart w:id="11" w:name="как-выполняется-вложение"/>
    <w:p>
      <w:pPr>
        <w:pStyle w:val="Heading2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1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1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1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1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12"/>
    <w:bookmarkStart w:id="13" w:name="проверка-и-ограничения"/>
    <w:p>
      <w:pPr>
        <w:pStyle w:val="Heading2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включения вложенного GBL-задания</dc:title>
  <dc:creator/>
  <cp:keywords/>
  <dcterms:created xsi:type="dcterms:W3CDTF">2026-10-22T11:55:45Z</dcterms:created>
  <dcterms:modified xsi:type="dcterms:W3CDTF">2026-10-22T11:55:45Z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