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страницы рабочих листов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8" w:name="общие-страницы-рабочих-листов"/>
    <w:p>
      <w:pPr>
        <w:pStyle w:val="Heading1"/>
      </w:pPr>
      <w:r>
        <w:t xml:space="preserve">Общие страницы рабочих листов</w:t>
      </w:r>
    </w:p>
    <w:p>
      <w:pPr>
        <w:pStyle w:val="FirstParagraph"/>
      </w:pPr>
      <w:r>
        <w:t xml:space="preserve">Эта страница описывает элементы данных, которые используются в разных рабочих листах. Перенос ведётся по частям: сначала страница</w:t>
      </w:r>
      <w:r>
        <w:t xml:space="preserve"> </w:t>
      </w:r>
      <w:r>
        <w:rPr>
          <w:rStyle w:val="VerbatimChar"/>
        </w:rPr>
        <w:t xml:space="preserve">Коды</w:t>
      </w:r>
      <w:r>
        <w:t xml:space="preserve">, затем основные библиографические области, экземпляры, технология и специализированные страницы.</w:t>
      </w:r>
    </w:p>
    <w:bookmarkStart w:id="9" w:name="X811cc7819e3cae63640d452fe07a76c98218b01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Коды</w:t>
      </w:r>
      <w:r>
        <w:t xml:space="preserve">: кодированная информация и ISBN/ISSN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Коды</w:t>
      </w:r>
      <w:r>
        <w:t xml:space="preserve"> </w:t>
      </w:r>
      <w:r>
        <w:t xml:space="preserve">содержит кодированную информацию и идентификаторы документа. Эти данные используются не только для хранения записи, но и для автоматического формирования отдельных элементов описания, поиска, статистики и экспорта в коммуникативные форматы.</w:t>
      </w:r>
    </w:p>
    <w:bookmarkEnd w:id="9"/>
    <w:bookmarkStart w:id="10" w:name="поле-900-тип-вид-и-характер-документа"/>
    <w:p>
      <w:pPr>
        <w:pStyle w:val="Heading2"/>
      </w:pPr>
      <w:r>
        <w:t xml:space="preserve">2. Поле 900: тип, вид и характер документа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t xml:space="preserve">тип документа;</w:t>
      </w:r>
    </w:p>
    <w:p>
      <w:pPr>
        <w:pStyle w:val="Compact"/>
        <w:numPr>
          <w:ilvl w:val="0"/>
          <w:numId w:val="1001"/>
        </w:numPr>
      </w:pPr>
      <w:r>
        <w:t xml:space="preserve">вид документа;</w:t>
      </w:r>
    </w:p>
    <w:p>
      <w:pPr>
        <w:pStyle w:val="Compact"/>
        <w:numPr>
          <w:ilvl w:val="0"/>
          <w:numId w:val="1001"/>
        </w:numPr>
      </w:pPr>
      <w:r>
        <w:t xml:space="preserve">характер документа;</w:t>
      </w:r>
    </w:p>
    <w:p>
      <w:pPr>
        <w:pStyle w:val="Compact"/>
        <w:numPr>
          <w:ilvl w:val="0"/>
          <w:numId w:val="1001"/>
        </w:numPr>
      </w:pPr>
      <w:r>
        <w:t xml:space="preserve">код целевого назначения.</w:t>
      </w:r>
    </w:p>
    <w:p>
      <w:pPr>
        <w:pStyle w:val="FirstParagraph"/>
      </w:pPr>
      <w:r>
        <w:t xml:space="preserve">Поле обязательно для книг и аналитических описаний. Все значения вводятся через справочники-меню.</w:t>
      </w:r>
    </w:p>
    <w:p>
      <w:pPr>
        <w:pStyle w:val="BodyText"/>
      </w:pPr>
      <w:r>
        <w:t xml:space="preserve">Код типа документа может не заполняться для традиционных печатных материалов, но обязателен для рукописей, нот, аудио- и видеоматериалов, карт и других нетрадиционных типов.</w:t>
      </w:r>
    </w:p>
    <w:p>
      <w:pPr>
        <w:pStyle w:val="BodyText"/>
      </w:pPr>
      <w:r>
        <w:t xml:space="preserve">Код вида документа обязателен. В рабочих листах для книг начальные значения могут быть уже заданы: для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однотомное издание, для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- многотомное издание. При описании продолжающихся и сериальных изданий значение нужно проверить и при необходимости исправить.</w:t>
      </w:r>
    </w:p>
    <w:p>
      <w:pPr>
        <w:pStyle w:val="BodyText"/>
      </w:pPr>
      <w:r>
        <w:t xml:space="preserve">Код характера документа не является обязательным, но полезен для поиска, статистического анализа и автоматического формирования отдельных элементов описания.</w:t>
      </w:r>
    </w:p>
    <w:p>
      <w:pPr>
        <w:pStyle w:val="BodyText"/>
      </w:pPr>
      <w:r>
        <w:t xml:space="preserve">Коды типа, вида, характера документа и целевого назначения включаются в поисковые словари.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Коды</w:t>
      </w:r>
      <w:r>
        <w:t xml:space="preserve"> </w:t>
      </w:r>
      <w:r>
        <w:t xml:space="preserve">предшествует библиографическим страницам, потому что:</w:t>
      </w:r>
    </w:p>
    <w:p>
      <w:pPr>
        <w:pStyle w:val="Compact"/>
        <w:numPr>
          <w:ilvl w:val="0"/>
          <w:numId w:val="1002"/>
        </w:numPr>
      </w:pPr>
      <w:r>
        <w:t xml:space="preserve">код языка используется при автоматическом формировании констант вида</w:t>
      </w:r>
      <w:r>
        <w:t xml:space="preserve"> </w:t>
      </w:r>
      <w:r>
        <w:rPr>
          <w:rStyle w:val="VerbatimChar"/>
        </w:rPr>
        <w:t xml:space="preserve">и др.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et al.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код типа документа может использоваться для автоматического формирования общего обозначения материала;</w:t>
      </w:r>
    </w:p>
    <w:p>
      <w:pPr>
        <w:pStyle w:val="Compact"/>
        <w:numPr>
          <w:ilvl w:val="0"/>
          <w:numId w:val="1002"/>
        </w:numPr>
      </w:pPr>
      <w:r>
        <w:t xml:space="preserve">код характера документа может использоваться для автоматического формирования сведений, относящихся к заглавию;</w:t>
      </w:r>
    </w:p>
    <w:p>
      <w:pPr>
        <w:pStyle w:val="Compact"/>
        <w:numPr>
          <w:ilvl w:val="0"/>
          <w:numId w:val="1002"/>
        </w:numPr>
      </w:pPr>
      <w:r>
        <w:t xml:space="preserve">отдельные коды характера документа могут управлять выводом цены или констант вроде</w:t>
      </w:r>
      <w:r>
        <w:t xml:space="preserve"> </w:t>
      </w:r>
      <w:r>
        <w:rPr>
          <w:rStyle w:val="VerbatimChar"/>
        </w:rPr>
        <w:t xml:space="preserve">Б. м. : б. и.</w:t>
      </w:r>
      <w:r>
        <w:t xml:space="preserve"> </w:t>
      </w:r>
      <w:r>
        <w:t xml:space="preserve">в форматах просмотра и печати.</w:t>
      </w:r>
    </w:p>
    <w:p>
      <w:pPr>
        <w:pStyle w:val="FirstParagraph"/>
      </w:pPr>
      <w:r>
        <w:t xml:space="preserve">Справочники, связанные с автоматическим формированием таких сведений, должны проверяться и корректироваться организацией по принятой методике описания.</w:t>
      </w:r>
    </w:p>
    <w:p>
      <w:pPr>
        <w:pStyle w:val="BodyText"/>
      </w:pPr>
      <w:r>
        <w:t xml:space="preserve">Если в локальном рабочем листе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расширено под признаки материалов иностранных агентов, заполняйте эти подполя вместе с основными кодами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а не вместо них. Подполе</w:t>
      </w:r>
      <w:r>
        <w:t xml:space="preserve"> </w:t>
      </w:r>
      <w:r>
        <w:rPr>
          <w:rStyle w:val="VerbatimChar"/>
        </w:rPr>
        <w:t xml:space="preserve">^!</w:t>
      </w:r>
      <w:r>
        <w:t xml:space="preserve"> </w:t>
      </w:r>
      <w:r>
        <w:t xml:space="preserve">используется для кода иностранного агента, подполе</w:t>
      </w:r>
      <w:r>
        <w:t xml:space="preserve"> </w:t>
      </w:r>
      <w:r>
        <w:rPr>
          <w:rStyle w:val="VerbatimChar"/>
        </w:rPr>
        <w:t xml:space="preserve">^@</w:t>
      </w:r>
      <w:r>
        <w:t xml:space="preserve"> </w:t>
      </w:r>
      <w:r>
        <w:t xml:space="preserve">- для указания автора, к которому относится признак. Такие локальные подполя нужны для последующей обработки и отбора записей, но не отменяют заполнение вида, типа и характера документа по обычным правилам.</w:t>
      </w:r>
    </w:p>
    <w:bookmarkEnd w:id="10"/>
    <w:bookmarkStart w:id="11" w:name="поле-110-коды-сериального-издания"/>
    <w:p>
      <w:pPr>
        <w:pStyle w:val="Heading2"/>
      </w:pPr>
      <w:r>
        <w:t xml:space="preserve">3. Поле 110: коды сериального издания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используется для документов-журналов и других сериальных изданий.</w:t>
      </w:r>
    </w:p>
    <w:p>
      <w:pPr>
        <w:pStyle w:val="BodyText"/>
      </w:pPr>
      <w:r>
        <w:t xml:space="preserve">В поле вводятся:</w:t>
      </w:r>
    </w:p>
    <w:p>
      <w:pPr>
        <w:pStyle w:val="Compact"/>
        <w:numPr>
          <w:ilvl w:val="0"/>
          <w:numId w:val="1003"/>
        </w:numPr>
      </w:pPr>
      <w:r>
        <w:t xml:space="preserve">тип сериального издания;</w:t>
      </w:r>
    </w:p>
    <w:p>
      <w:pPr>
        <w:pStyle w:val="Compact"/>
        <w:numPr>
          <w:ilvl w:val="0"/>
          <w:numId w:val="1003"/>
        </w:numPr>
      </w:pPr>
      <w:r>
        <w:t xml:space="preserve">вид;</w:t>
      </w:r>
    </w:p>
    <w:p>
      <w:pPr>
        <w:pStyle w:val="Compact"/>
        <w:numPr>
          <w:ilvl w:val="0"/>
          <w:numId w:val="1003"/>
        </w:numPr>
      </w:pPr>
      <w:r>
        <w:t xml:space="preserve">периодичность: код и число выпусков в году;</w:t>
      </w:r>
    </w:p>
    <w:p>
      <w:pPr>
        <w:pStyle w:val="Compact"/>
        <w:numPr>
          <w:ilvl w:val="0"/>
          <w:numId w:val="1003"/>
        </w:numPr>
      </w:pPr>
      <w:r>
        <w:t xml:space="preserve">регулярность;</w:t>
      </w:r>
    </w:p>
    <w:p>
      <w:pPr>
        <w:pStyle w:val="Compact"/>
        <w:numPr>
          <w:ilvl w:val="0"/>
          <w:numId w:val="1003"/>
        </w:numPr>
      </w:pPr>
      <w:r>
        <w:t xml:space="preserve">характер издания;</w:t>
      </w:r>
    </w:p>
    <w:p>
      <w:pPr>
        <w:pStyle w:val="Compact"/>
        <w:numPr>
          <w:ilvl w:val="0"/>
          <w:numId w:val="1003"/>
        </w:numPr>
      </w:pPr>
      <w:r>
        <w:t xml:space="preserve">содержательное наполнение;</w:t>
      </w:r>
    </w:p>
    <w:p>
      <w:pPr>
        <w:pStyle w:val="Compact"/>
        <w:numPr>
          <w:ilvl w:val="0"/>
          <w:numId w:val="1003"/>
        </w:numPr>
      </w:pPr>
      <w:r>
        <w:t xml:space="preserve">признак материалов конференции;</w:t>
      </w:r>
    </w:p>
    <w:p>
      <w:pPr>
        <w:pStyle w:val="Compact"/>
        <w:numPr>
          <w:ilvl w:val="0"/>
          <w:numId w:val="1003"/>
        </w:numPr>
      </w:pPr>
      <w:r>
        <w:t xml:space="preserve">признаки наличия указателя и кумулятивного указателя.</w:t>
      </w:r>
    </w:p>
    <w:p>
      <w:pPr>
        <w:pStyle w:val="FirstParagraph"/>
      </w:pPr>
      <w:r>
        <w:t xml:space="preserve">Для документа-журнала обязательны вид и периодичность. Тип заполняется для нетрадиционных изданий.</w:t>
      </w:r>
    </w:p>
    <w:p>
      <w:pPr>
        <w:pStyle w:val="BodyText"/>
      </w:pPr>
      <w:r>
        <w:t xml:space="preserve">Оба представления периодичности вводятся одновременно. Число выпусков в году может использоваться при подготовке выходных форм по непоступившим номерам.</w:t>
      </w:r>
    </w:p>
    <w:p>
      <w:pPr>
        <w:pStyle w:val="BodyText"/>
      </w:pPr>
      <w:r>
        <w:t xml:space="preserve">Содержательное наполнение может иметь несколько значений и вводиться в режиме мультиввода.</w:t>
      </w:r>
    </w:p>
    <w:bookmarkEnd w:id="11"/>
    <w:bookmarkStart w:id="12" w:name="поля-102-101-и-911-страна-и-языки"/>
    <w:p>
      <w:pPr>
        <w:pStyle w:val="Heading2"/>
      </w:pPr>
      <w:r>
        <w:t xml:space="preserve">4. Поля 102, 101 и 911: страна и языки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содержит страну издания. Поля</w:t>
      </w:r>
      <w:r>
        <w:t xml:space="preserve"> </w:t>
      </w:r>
      <w:r>
        <w:rPr>
          <w:rStyle w:val="VerbatimChar"/>
        </w:rPr>
        <w:t xml:space="preserve">101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911</w:t>
      </w:r>
      <w:r>
        <w:t xml:space="preserve"> </w:t>
      </w:r>
      <w:r>
        <w:t xml:space="preserve">используются для языка основного текста и языка резюме.</w:t>
      </w:r>
    </w:p>
    <w:p>
      <w:pPr>
        <w:pStyle w:val="BodyText"/>
      </w:pPr>
      <w:r>
        <w:t xml:space="preserve">Коды вводятся через меню. В многоязычных изданиях коды языка могут повторяться. По умолчанию в рабочих листах обычно установлены страна</w:t>
      </w:r>
      <w:r>
        <w:t xml:space="preserve"> </w:t>
      </w:r>
      <w:r>
        <w:rPr>
          <w:rStyle w:val="VerbatimChar"/>
        </w:rPr>
        <w:t xml:space="preserve">RU</w:t>
      </w:r>
      <w:r>
        <w:t xml:space="preserve"> </w:t>
      </w:r>
      <w:r>
        <w:t xml:space="preserve">и язык основного текста</w:t>
      </w:r>
      <w:r>
        <w:t xml:space="preserve"> </w:t>
      </w:r>
      <w:r>
        <w:rPr>
          <w:rStyle w:val="VerbatimChar"/>
        </w:rPr>
        <w:t xml:space="preserve">rus</w:t>
      </w:r>
      <w:r>
        <w:t xml:space="preserve">, но эти значения нужно проверять по фактическому документу.</w:t>
      </w:r>
    </w:p>
    <w:p>
      <w:pPr>
        <w:pStyle w:val="BodyText"/>
      </w:pPr>
      <w:r>
        <w:t xml:space="preserve">Повторяющиеся коды языков можно вводить в режиме мультиввода. В поле поиска меню можно вводить начальные буквы названия языка.</w:t>
      </w:r>
    </w:p>
    <w:bookmarkEnd w:id="12"/>
    <w:bookmarkStart w:id="13" w:name="поле-919-дополнительные-языковые-данные"/>
    <w:p>
      <w:pPr>
        <w:pStyle w:val="Heading2"/>
      </w:pPr>
      <w:r>
        <w:t xml:space="preserve">5. Поле 919: дополнительные языковые данные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919</w:t>
      </w:r>
      <w:r>
        <w:t xml:space="preserve"> </w:t>
      </w:r>
      <w:r>
        <w:t xml:space="preserve">содержит дополнительные сведения, которые важны для корректной передачи записи в коммуникативные форматы:</w:t>
      </w:r>
    </w:p>
    <w:p>
      <w:pPr>
        <w:pStyle w:val="Compact"/>
        <w:numPr>
          <w:ilvl w:val="0"/>
          <w:numId w:val="1004"/>
        </w:numPr>
      </w:pPr>
      <w:r>
        <w:t xml:space="preserve">язык каталогизации;</w:t>
      </w:r>
    </w:p>
    <w:p>
      <w:pPr>
        <w:pStyle w:val="Compact"/>
        <w:numPr>
          <w:ilvl w:val="0"/>
          <w:numId w:val="1004"/>
        </w:numPr>
      </w:pPr>
      <w:r>
        <w:t xml:space="preserve">правила каталогизации;</w:t>
      </w:r>
    </w:p>
    <w:p>
      <w:pPr>
        <w:pStyle w:val="Compact"/>
        <w:numPr>
          <w:ilvl w:val="0"/>
          <w:numId w:val="1004"/>
        </w:numPr>
      </w:pPr>
      <w:r>
        <w:t xml:space="preserve">наборы символов;</w:t>
      </w:r>
    </w:p>
    <w:p>
      <w:pPr>
        <w:pStyle w:val="Compact"/>
        <w:numPr>
          <w:ilvl w:val="0"/>
          <w:numId w:val="1004"/>
        </w:numPr>
      </w:pPr>
      <w:r>
        <w:t xml:space="preserve">графику заглавия;</w:t>
      </w:r>
    </w:p>
    <w:p>
      <w:pPr>
        <w:pStyle w:val="Compact"/>
        <w:numPr>
          <w:ilvl w:val="0"/>
          <w:numId w:val="1004"/>
        </w:numPr>
      </w:pPr>
      <w:r>
        <w:t xml:space="preserve">язык промежуточного перевода;</w:t>
      </w:r>
    </w:p>
    <w:p>
      <w:pPr>
        <w:pStyle w:val="Compact"/>
        <w:numPr>
          <w:ilvl w:val="0"/>
          <w:numId w:val="1004"/>
        </w:numPr>
      </w:pPr>
      <w:r>
        <w:t xml:space="preserve">язык оригинала, оглавления, титульного листа, основного заглавия и сопроводительного материала.</w:t>
      </w:r>
    </w:p>
    <w:p>
      <w:pPr>
        <w:pStyle w:val="FirstParagraph"/>
      </w:pPr>
      <w:r>
        <w:t xml:space="preserve">Эти данные могут не выводиться в обычных просмотровых форматах, но нужны для обменных форматов и контрольных полей.</w:t>
      </w:r>
    </w:p>
    <w:p>
      <w:pPr>
        <w:pStyle w:val="BodyText"/>
      </w:pPr>
      <w:r>
        <w:t xml:space="preserve">Язык каталогизации по умолчанию обычно установлен как русский. Наборы символов должны соответствовать фактической графике записи. Графику заглавия нужно заполнять, если графика основного заглавия источника отличается от языка основного текста.</w:t>
      </w:r>
    </w:p>
    <w:bookmarkEnd w:id="13"/>
    <w:bookmarkStart w:id="14" w:name="поле-10-isbn-и-цена"/>
    <w:p>
      <w:pPr>
        <w:pStyle w:val="Heading2"/>
      </w:pPr>
      <w:r>
        <w:t xml:space="preserve">6. Поле 10: ISBN и цена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5"/>
        </w:numPr>
      </w:pPr>
      <w:r>
        <w:t xml:space="preserve">ISBN;</w:t>
      </w:r>
    </w:p>
    <w:p>
      <w:pPr>
        <w:pStyle w:val="Compact"/>
        <w:numPr>
          <w:ilvl w:val="0"/>
          <w:numId w:val="1005"/>
        </w:numPr>
      </w:pPr>
      <w:r>
        <w:t xml:space="preserve">уточнения;</w:t>
      </w:r>
    </w:p>
    <w:p>
      <w:pPr>
        <w:pStyle w:val="Compact"/>
        <w:numPr>
          <w:ilvl w:val="0"/>
          <w:numId w:val="1005"/>
        </w:numPr>
      </w:pPr>
      <w:r>
        <w:t xml:space="preserve">ошибочный ISBN;</w:t>
      </w:r>
    </w:p>
    <w:p>
      <w:pPr>
        <w:pStyle w:val="Compact"/>
        <w:numPr>
          <w:ilvl w:val="0"/>
          <w:numId w:val="1005"/>
        </w:numPr>
      </w:pPr>
      <w:r>
        <w:t xml:space="preserve">общую цену;</w:t>
      </w:r>
    </w:p>
    <w:p>
      <w:pPr>
        <w:pStyle w:val="Compact"/>
        <w:numPr>
          <w:ilvl w:val="0"/>
          <w:numId w:val="1005"/>
        </w:numPr>
      </w:pPr>
      <w:r>
        <w:t xml:space="preserve">обозначение валюты.</w:t>
      </w:r>
    </w:p>
    <w:p>
      <w:pPr>
        <w:pStyle w:val="FirstParagraph"/>
      </w:pPr>
      <w:r>
        <w:t xml:space="preserve">Поле может повторяться, если у издания несколько ISBN.</w:t>
      </w:r>
    </w:p>
    <w:p>
      <w:pPr>
        <w:pStyle w:val="BodyText"/>
      </w:pPr>
      <w:r>
        <w:t xml:space="preserve">ISBN вводится в полной структуре. Система выполняет формально-логический контроль ISBN и проверку на дублетность. Контроль диагностический: ISBN с ошибкой может быть сохранён, если каталогизатор проверил, что ошибка напечатана в самом документе.</w:t>
      </w:r>
    </w:p>
    <w:p>
      <w:pPr>
        <w:pStyle w:val="BodyText"/>
      </w:pPr>
      <w:r>
        <w:t xml:space="preserve">Если впоследствии издатель даёт замену ошибочного ISBN, старый номер нужно перенести в подполе ошибочного ISBN.</w:t>
      </w:r>
    </w:p>
    <w:p>
      <w:pPr>
        <w:pStyle w:val="BodyText"/>
      </w:pPr>
      <w:r>
        <w:t xml:space="preserve">Цена вводится цифрами без обозначения валюты или текстом, например</w:t>
      </w:r>
      <w:r>
        <w:t xml:space="preserve"> </w:t>
      </w:r>
      <w:r>
        <w:rPr>
          <w:rStyle w:val="VerbatimChar"/>
        </w:rPr>
        <w:t xml:space="preserve">бесплатно</w:t>
      </w:r>
      <w:r>
        <w:t xml:space="preserve">. Если валюта отличается от значения по умолчанию в</w:t>
      </w:r>
      <w:r>
        <w:t xml:space="preserve"> </w:t>
      </w:r>
      <w:r>
        <w:rPr>
          <w:rStyle w:val="VerbatimChar"/>
        </w:rPr>
        <w:t xml:space="preserve">ORG.MNU</w:t>
      </w:r>
      <w:r>
        <w:t xml:space="preserve">, её нужно указать отдельно. Использование разных валют в одной записи нежелательно, потому что это осложняет списание и проверку фонда.</w:t>
      </w:r>
    </w:p>
    <w:p>
      <w:pPr>
        <w:pStyle w:val="BodyText"/>
      </w:pPr>
      <w:r>
        <w:t xml:space="preserve">ISBN включается в общий словарь идентификаторов вместе с ISSN и идентификаторами нетекстовых материалов.</w:t>
      </w:r>
    </w:p>
    <w:bookmarkEnd w:id="14"/>
    <w:bookmarkStart w:id="15" w:name="поле-11-issn"/>
    <w:p>
      <w:pPr>
        <w:pStyle w:val="Heading2"/>
      </w:pPr>
      <w:r>
        <w:t xml:space="preserve">7. Поле 11: ISSN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содержит ISSN. Оно может повторяться, включая отменённые ISSN, если организация считает нужным хранить их в записи.</w:t>
      </w:r>
    </w:p>
    <w:p>
      <w:pPr>
        <w:pStyle w:val="BodyText"/>
      </w:pPr>
      <w:r>
        <w:t xml:space="preserve">ISSN вводится без дефиса. Система выполняет контроль правильности и сверку на дублетность. Контроль диагностический.</w:t>
      </w:r>
    </w:p>
    <w:p>
      <w:pPr>
        <w:pStyle w:val="BodyText"/>
      </w:pPr>
      <w:r>
        <w:t xml:space="preserve">ISSN включается в общий словарь идентификаторов вместе с ISBN и идентификаторами нетекстовых материалов.</w:t>
      </w:r>
    </w:p>
    <w:bookmarkEnd w:id="15"/>
    <w:bookmarkStart w:id="16" w:name="X1222f0ff0b9eec6647009f7b7fa8c46c6516756"/>
    <w:p>
      <w:pPr>
        <w:pStyle w:val="Heading2"/>
      </w:pPr>
      <w:r>
        <w:t xml:space="preserve">8. Поле 19: идентификационный номер нетекстовых материалов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19</w:t>
      </w:r>
      <w:r>
        <w:t xml:space="preserve"> </w:t>
      </w:r>
      <w:r>
        <w:t xml:space="preserve">используется для стандартных номеров нетекстовых материалов: нот, звукозаписей и других материалов.</w:t>
      </w:r>
    </w:p>
    <w:p>
      <w:pPr>
        <w:pStyle w:val="BodyText"/>
      </w:pPr>
      <w:r>
        <w:t xml:space="preserve">Поле может повторяться для основного документа и приложения, если они имеют разные стандартные номера.</w:t>
      </w:r>
    </w:p>
    <w:p>
      <w:pPr>
        <w:pStyle w:val="BodyText"/>
      </w:pPr>
      <w:r>
        <w:t xml:space="preserve">В поле указываются признак основного документа или приложения, тип номера и сам номер. Тип номера выбирается через меню. Автоматический контроль структуры не выполняется, но проводится диагностическая сверка на дублетность номера вместе с типом.</w:t>
      </w:r>
    </w:p>
    <w:p>
      <w:pPr>
        <w:pStyle w:val="BodyText"/>
      </w:pPr>
      <w:r>
        <w:t xml:space="preserve">Идентификационный номер включается в общий словарь идентификаторов.</w:t>
      </w:r>
    </w:p>
    <w:bookmarkEnd w:id="16"/>
    <w:bookmarkStart w:id="17" w:name="Xd6696a3592625b2fdd2e1bf4325c5a3a6d4fde0"/>
    <w:p>
      <w:pPr>
        <w:pStyle w:val="Heading2"/>
      </w:pPr>
      <w:r>
        <w:t xml:space="preserve">9. Поле 904: шифр отдельно хранящегося приложения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904</w:t>
      </w:r>
      <w:r>
        <w:t xml:space="preserve"> </w:t>
      </w:r>
      <w:r>
        <w:t xml:space="preserve">заполняется, если у документа есть сопроводительный материал или приложение, хранящееся отдельно от основного документа.</w:t>
      </w:r>
    </w:p>
    <w:p>
      <w:pPr>
        <w:pStyle w:val="BodyText"/>
      </w:pPr>
      <w:r>
        <w:t xml:space="preserve">В поле указываются:</w:t>
      </w:r>
    </w:p>
    <w:p>
      <w:pPr>
        <w:pStyle w:val="Compact"/>
        <w:numPr>
          <w:ilvl w:val="0"/>
          <w:numId w:val="1006"/>
        </w:numPr>
      </w:pPr>
      <w:r>
        <w:t xml:space="preserve">шифр приложения;</w:t>
      </w:r>
    </w:p>
    <w:p>
      <w:pPr>
        <w:pStyle w:val="Compact"/>
        <w:numPr>
          <w:ilvl w:val="0"/>
          <w:numId w:val="1006"/>
        </w:numPr>
      </w:pPr>
      <w:r>
        <w:t xml:space="preserve">нетрадиционный носитель;</w:t>
      </w:r>
    </w:p>
    <w:p>
      <w:pPr>
        <w:pStyle w:val="Compact"/>
        <w:numPr>
          <w:ilvl w:val="0"/>
          <w:numId w:val="1006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6"/>
        </w:numPr>
      </w:pPr>
      <w:r>
        <w:t xml:space="preserve">примечание.</w:t>
      </w:r>
    </w:p>
    <w:p>
      <w:pPr>
        <w:pStyle w:val="FirstParagraph"/>
      </w:pPr>
      <w:r>
        <w:t xml:space="preserve">Поле повторяется по числу отдельно хранящихся приложений. Примечание вводится свободным текстом и может уточнять состав или содержание приложения.</w:t>
      </w:r>
    </w:p>
    <w:bookmarkEnd w:id="17"/>
    <w:bookmarkStart w:id="18" w:name="страница-основное-бо-авторы-и-заглавие"/>
    <w:p>
      <w:pPr>
        <w:pStyle w:val="Heading2"/>
      </w:pPr>
      <w:r>
        <w:t xml:space="preserve">10. Страница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: авторы и заглавие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 </w:t>
      </w:r>
      <w:r>
        <w:t xml:space="preserve">содержит основные элементы библиографического описания: авторов, коллективы, заглавие, сведения об ответственности, сведения о выпусках, частях, статьях сборника и томах в одной печатной единице.</w:t>
      </w:r>
    </w:p>
    <w:bookmarkEnd w:id="18"/>
    <w:bookmarkStart w:id="19" w:name="X884ca7f8154476f9f033310924821184a49e000"/>
    <w:p>
      <w:pPr>
        <w:pStyle w:val="Heading2"/>
      </w:pPr>
      <w:r>
        <w:t xml:space="preserve">11. Поле 700: первый автор - заголовок описания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 </w:t>
      </w:r>
      <w:r>
        <w:t xml:space="preserve">заполняется, если документ описывается под автором и число авторов меньше четырёх.</w:t>
      </w:r>
    </w:p>
    <w:p>
      <w:pPr>
        <w:pStyle w:val="BodyText"/>
      </w:pPr>
      <w:r>
        <w:t xml:space="preserve">В поле вводятся фамилия, инициалы, раскрытие инициалов, дополнительные данные имени, даты жизни, данные авторитетной записи, признак допустимости инверсии ФИО, место работы и функции автора.</w:t>
      </w:r>
    </w:p>
    <w:p>
      <w:pPr>
        <w:pStyle w:val="BodyText"/>
      </w:pPr>
      <w:r>
        <w:t xml:space="preserve">Термин для словаря авторов формируется из фамилии, римских цифр, раскрытия инициалов или инициалов, а также дополнительных данных. Разночтение фамилии также попадает в словарь авторов и может использоваться для ссылочной каталожной карточки.</w:t>
      </w:r>
    </w:p>
    <w:p>
      <w:pPr>
        <w:pStyle w:val="BodyText"/>
      </w:pPr>
      <w:r>
        <w:t xml:space="preserve">При автоматическом формировании сведений об ответственности из поля выбираются фамилия, римские цифры, инициалы или раскрытие инициалов. Признак допустимости инверсии определяет порядок следования фамилии и инициалов.</w:t>
      </w:r>
    </w:p>
    <w:bookmarkEnd w:id="19"/>
    <w:bookmarkStart w:id="20" w:name="поле-701-другие-индивидуальные-авторы"/>
    <w:p>
      <w:pPr>
        <w:pStyle w:val="Heading2"/>
      </w:pPr>
      <w:r>
        <w:t xml:space="preserve">12. Поле 701: другие индивидуальные авторы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 </w:t>
      </w:r>
      <w:r>
        <w:t xml:space="preserve">используется для авторов, которые не входят в заголовок описания.</w:t>
      </w:r>
    </w:p>
    <w:p>
      <w:pPr>
        <w:pStyle w:val="BodyText"/>
      </w:pPr>
      <w:r>
        <w:t xml:space="preserve">Если авторов не больше трёх,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 </w:t>
      </w:r>
      <w:r>
        <w:t xml:space="preserve">вводятся авторы, начиная со второго. Если авторов больше трёх, в это поле вводятся все авторы, включая первого, потому что описание ведётся под заглавием.</w:t>
      </w:r>
    </w:p>
    <w:p>
      <w:pPr>
        <w:pStyle w:val="BodyText"/>
      </w:pPr>
      <w:r>
        <w:t xml:space="preserve">Авторы могут вводиться с использованием словаря базы электронного каталога и авторитетной базы. Для повторяющихся полей можно использовать мультиввод.</w:t>
      </w:r>
    </w:p>
    <w:p>
      <w:pPr>
        <w:pStyle w:val="BodyText"/>
      </w:pPr>
      <w:r>
        <w:t xml:space="preserve">Каталогизатор может указать роль автора, например необходимость добавочной каталожной карточки.</w:t>
      </w:r>
    </w:p>
    <w:bookmarkEnd w:id="20"/>
    <w:bookmarkStart w:id="21" w:name="X54a12e8853bc016fafcccd79942ad2601083aad"/>
    <w:p>
      <w:pPr>
        <w:pStyle w:val="Heading2"/>
      </w:pPr>
      <w:r>
        <w:t xml:space="preserve">13. Поле 702: лица с вторичной ответственностью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используется для редакторов, составителей, переводчиков, композиторов, художников и других лиц с вторичной интеллектуальной ответственностью.</w:t>
      </w:r>
    </w:p>
    <w:p>
      <w:pPr>
        <w:pStyle w:val="BodyText"/>
      </w:pPr>
      <w:r>
        <w:t xml:space="preserve">В поле вводятся функции лица, уточнение функции, ФИО, дополнительные данные имени, даты жизни, данные авторитетной записи, признак допустимости инверсии, место работы и роль.</w:t>
      </w:r>
    </w:p>
    <w:p>
      <w:pPr>
        <w:pStyle w:val="BodyText"/>
      </w:pPr>
      <w:r>
        <w:t xml:space="preserve">Все имена с указанием функции включаются в словарь авторов. Если лица с вторичной ответственностью указаны в полях содержания, сборника без общего заглавия или нескольких томов в одной печатной единице, их нужно дополнительно ввести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чтобы они попали в словарь авторов.</w:t>
      </w:r>
    </w:p>
    <w:bookmarkEnd w:id="21"/>
    <w:bookmarkStart w:id="22" w:name="поля-711-и-972-коллективные-авторы"/>
    <w:p>
      <w:pPr>
        <w:pStyle w:val="Heading2"/>
      </w:pPr>
      <w:r>
        <w:t xml:space="preserve">14. Поля 711 и 972: коллективные авторы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711</w:t>
      </w:r>
      <w:r>
        <w:t xml:space="preserve"> </w:t>
      </w:r>
      <w:r>
        <w:t xml:space="preserve">используется для коллективных авторов, которые не входят в заголовок описания.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972</w:t>
      </w:r>
      <w:r>
        <w:t xml:space="preserve"> </w:t>
      </w:r>
      <w:r>
        <w:t xml:space="preserve">используется для временных коллективных авторов, которые не входят в заголовок описания.</w:t>
      </w:r>
    </w:p>
    <w:p>
      <w:pPr>
        <w:pStyle w:val="BodyText"/>
      </w:pPr>
      <w:r>
        <w:t xml:space="preserve">Для коллективов и временных коллективов можно указать данные авторитетной записи, наименование, страну или город, номер, подразделение, сокращение по ГОСТ, функцию и роль. Роль определяет, нужна ли добавочная карточка и нужно ли включать коллектив в сведения об ответственности.</w:t>
      </w:r>
    </w:p>
    <w:p>
      <w:pPr>
        <w:pStyle w:val="BodyText"/>
      </w:pPr>
      <w:r>
        <w:t xml:space="preserve">Полное наименование включается в словарь коллективов, отдельные слова - в словарь ключевых слов. Если заглавие подразделения должно индексироваться самостоятельно, указывается признак характерного заглавия подразделения.</w:t>
      </w:r>
    </w:p>
    <w:bookmarkEnd w:id="22"/>
    <w:bookmarkStart w:id="23" w:name="X3b8e505d6392749ced07263bc03eb87581200a7"/>
    <w:p>
      <w:pPr>
        <w:pStyle w:val="Heading2"/>
      </w:pPr>
      <w:r>
        <w:t xml:space="preserve">15. Поле 200: заглавие и сведения об ответственности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содержит заглавие, сведения, относящиеся к заглавию, общее обозначение материала и сведения об ответственности.</w:t>
      </w:r>
    </w:p>
    <w:p>
      <w:pPr>
        <w:pStyle w:val="BodyText"/>
      </w:pPr>
      <w:r>
        <w:t xml:space="preserve">При сводном описании тома в это поле вводятся заглавие тома и номер тома. Если в одной печатной единице описывается несколько томов, данные о томах вводятся в</w:t>
      </w:r>
      <w:r>
        <w:t xml:space="preserve"> </w:t>
      </w:r>
      <w:r>
        <w:rPr>
          <w:rStyle w:val="VerbatimChar"/>
        </w:rPr>
        <w:t xml:space="preserve">925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остаются данные, общие для документа в целом.</w:t>
      </w:r>
    </w:p>
    <w:p>
      <w:pPr>
        <w:pStyle w:val="BodyText"/>
      </w:pPr>
      <w:r>
        <w:t xml:space="preserve">Сведения, относящиеся к заглавию, могут формироваться автоматически на основе кода характера документа и справочника соответствий. Это автоматическое формирование можно отключить в настройке или через корректировку соответствующего справочника.</w:t>
      </w:r>
    </w:p>
    <w:p>
      <w:pPr>
        <w:pStyle w:val="BodyText"/>
      </w:pPr>
      <w:r>
        <w:t xml:space="preserve">Сведения об ответственности могут вводиться вручную, через словарь в режиме мультиввода или формироваться автоматически из полей авторов, редакторов, коллективов и временных коллективов.</w:t>
      </w:r>
    </w:p>
    <w:p>
      <w:pPr>
        <w:pStyle w:val="BodyText"/>
      </w:pPr>
      <w:r>
        <w:t xml:space="preserve">При автоматическом формировании учитываются:</w:t>
      </w:r>
    </w:p>
    <w:p>
      <w:pPr>
        <w:pStyle w:val="Compact"/>
        <w:numPr>
          <w:ilvl w:val="0"/>
          <w:numId w:val="1007"/>
        </w:numPr>
      </w:pPr>
      <w:r>
        <w:t xml:space="preserve">допустимость инверсии ФИО;</w:t>
      </w:r>
    </w:p>
    <w:p>
      <w:pPr>
        <w:pStyle w:val="Compact"/>
        <w:numPr>
          <w:ilvl w:val="0"/>
          <w:numId w:val="1007"/>
        </w:numPr>
      </w:pPr>
      <w:r>
        <w:t xml:space="preserve">наличие автора-заголовка;</w:t>
      </w:r>
    </w:p>
    <w:p>
      <w:pPr>
        <w:pStyle w:val="Compact"/>
        <w:numPr>
          <w:ilvl w:val="0"/>
          <w:numId w:val="1007"/>
        </w:numPr>
      </w:pPr>
      <w:r>
        <w:t xml:space="preserve">количество авторов и лиц с одинаковой функцией;</w:t>
      </w:r>
    </w:p>
    <w:p>
      <w:pPr>
        <w:pStyle w:val="Compact"/>
        <w:numPr>
          <w:ilvl w:val="0"/>
          <w:numId w:val="1007"/>
        </w:numPr>
      </w:pPr>
      <w:r>
        <w:t xml:space="preserve">язык основного текста, от которого зависят константы вроде</w:t>
      </w:r>
      <w:r>
        <w:t xml:space="preserve"> </w:t>
      </w:r>
      <w:r>
        <w:rPr>
          <w:rStyle w:val="VerbatimChar"/>
        </w:rPr>
        <w:t xml:space="preserve">и др.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et al.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признак включения коллективов в сведения об ответственности.</w:t>
      </w:r>
    </w:p>
    <w:p>
      <w:pPr>
        <w:pStyle w:val="FirstParagraph"/>
      </w:pPr>
      <w:r>
        <w:t xml:space="preserve">Если сведения об ответственности уже заполнены, система может анализировать их при сохранении и дополнительно вводить недостающие поисковые данные, например первого автора-заголовок.</w:t>
      </w:r>
    </w:p>
    <w:p>
      <w:pPr>
        <w:pStyle w:val="BodyText"/>
      </w:pPr>
      <w:r>
        <w:t xml:space="preserve">Заглавие включается в словарь заглавий, а отдельные слова - в словарь ключевых слов. Для заглавия можно указать необходимость добавочной карточки или признак нехарактерного заглавия.</w:t>
      </w:r>
    </w:p>
    <w:bookmarkEnd w:id="23"/>
    <w:bookmarkStart w:id="24" w:name="поле-923-выпуск-часть-номер-заглавие"/>
    <w:p>
      <w:pPr>
        <w:pStyle w:val="Heading2"/>
      </w:pPr>
      <w:r>
        <w:t xml:space="preserve">16. Поле 923: выпуск, часть, номер-заглавие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923</w:t>
      </w:r>
      <w:r>
        <w:t xml:space="preserve"> </w:t>
      </w:r>
      <w:r>
        <w:t xml:space="preserve">используется для сведений о выпуске или части. Поле может повторяться, если в книге описано несколько выпусков или частей.</w:t>
      </w:r>
    </w:p>
    <w:p>
      <w:pPr>
        <w:pStyle w:val="BodyText"/>
      </w:pPr>
      <w:r>
        <w:t xml:space="preserve">Для томов многотомного издания условная иерархия деления печатной единицы выглядит так: том - выпуск - часть.</w:t>
      </w:r>
    </w:p>
    <w:p>
      <w:pPr>
        <w:pStyle w:val="BodyText"/>
      </w:pPr>
      <w:r>
        <w:t xml:space="preserve">Номер тома указывается в поле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при сводном описании тома или в области серии при монографическом описании. В</w:t>
      </w:r>
      <w:r>
        <w:t xml:space="preserve"> </w:t>
      </w:r>
      <w:r>
        <w:rPr>
          <w:rStyle w:val="VerbatimChar"/>
        </w:rPr>
        <w:t xml:space="preserve">923</w:t>
      </w:r>
      <w:r>
        <w:t xml:space="preserve"> </w:t>
      </w:r>
      <w:r>
        <w:t xml:space="preserve">указываются вторая и третья единицы деления.</w:t>
      </w:r>
    </w:p>
    <w:p>
      <w:pPr>
        <w:pStyle w:val="BodyText"/>
      </w:pPr>
      <w:r>
        <w:t xml:space="preserve">Если выпуск или часть нужно описать подробнее, например с авторами и редакторами, вместо</w:t>
      </w:r>
      <w:r>
        <w:t xml:space="preserve"> </w:t>
      </w:r>
      <w:r>
        <w:rPr>
          <w:rStyle w:val="VerbatimChar"/>
        </w:rPr>
        <w:t xml:space="preserve">923</w:t>
      </w:r>
      <w:r>
        <w:t xml:space="preserve"> </w:t>
      </w:r>
      <w:r>
        <w:t xml:space="preserve">используется поле</w:t>
      </w:r>
      <w:r>
        <w:t xml:space="preserve"> </w:t>
      </w:r>
      <w:r>
        <w:rPr>
          <w:rStyle w:val="VerbatimChar"/>
        </w:rPr>
        <w:t xml:space="preserve">925</w:t>
      </w:r>
      <w:r>
        <w:t xml:space="preserve">.</w:t>
      </w:r>
    </w:p>
    <w:bookmarkEnd w:id="24"/>
    <w:bookmarkStart w:id="25" w:name="Xc8893661e6f031da416cb116a36b1138de53b75"/>
    <w:p>
      <w:pPr>
        <w:pStyle w:val="Heading2"/>
      </w:pPr>
      <w:r>
        <w:t xml:space="preserve">17. Поле 922: вторая и последующие статьи сборника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используется для второй и последующих статей сборника произведений или статей нескольких авторов, если сборник не имеет общего заглавия.</w:t>
      </w:r>
    </w:p>
    <w:p>
      <w:pPr>
        <w:pStyle w:val="BodyText"/>
      </w:pPr>
      <w:r>
        <w:t xml:space="preserve">Первая статья описывается по общим правилам в полях заглавия и автора-заголовка. Для каждой последующей статьи в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вводятся заглавие, авторы, сведения к заглавию, сведения об ответственности, параллельные заглавия, части и подразделы.</w:t>
      </w:r>
    </w:p>
    <w:p>
      <w:pPr>
        <w:pStyle w:val="BodyText"/>
      </w:pPr>
      <w:r>
        <w:t xml:space="preserve">На каждую статью готовится добавочная каталожная карточка. Авторы попадают в словарь авторов, заглавия - в словарь заглавий, отдельные слова - в словарь ключевых слов.</w:t>
      </w:r>
    </w:p>
    <w:p>
      <w:pPr>
        <w:pStyle w:val="BodyText"/>
      </w:pPr>
      <w:r>
        <w:t xml:space="preserve">Если несколько произведений принадлежат одному автору, данные автора можно указать в последнем из связанных повторений и сослаться на него из предыдущих повторений.</w:t>
      </w:r>
    </w:p>
    <w:bookmarkEnd w:id="25"/>
    <w:bookmarkStart w:id="26" w:name="поле-925-несколько-томов-в-одной-книге"/>
    <w:p>
      <w:pPr>
        <w:pStyle w:val="Heading2"/>
      </w:pPr>
      <w:r>
        <w:t xml:space="preserve">18. Поле 925: несколько томов в одной книге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925</w:t>
      </w:r>
      <w:r>
        <w:t xml:space="preserve"> </w:t>
      </w:r>
      <w:r>
        <w:t xml:space="preserve">используется в двух основных случаях:</w:t>
      </w:r>
    </w:p>
    <w:p>
      <w:pPr>
        <w:pStyle w:val="Compact"/>
        <w:numPr>
          <w:ilvl w:val="0"/>
          <w:numId w:val="1008"/>
        </w:numPr>
      </w:pPr>
      <w:r>
        <w:t xml:space="preserve">одно издание содержит несколько частей, которые нужно описать подробнее, чем позволяет</w:t>
      </w:r>
      <w:r>
        <w:t xml:space="preserve"> </w:t>
      </w:r>
      <w:r>
        <w:rPr>
          <w:rStyle w:val="VerbatimChar"/>
        </w:rPr>
        <w:t xml:space="preserve">923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одна печатная единица содержит несколько томов многотомного издания.</w:t>
      </w:r>
    </w:p>
    <w:p>
      <w:pPr>
        <w:pStyle w:val="FirstParagraph"/>
      </w:pPr>
      <w:r>
        <w:t xml:space="preserve">Если описывается несколько томов в одной печатной единице, поле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содержит только данные, общие для всей книги, а сведения обо всех томах вводятся в</w:t>
      </w:r>
      <w:r>
        <w:t xml:space="preserve"> </w:t>
      </w:r>
      <w:r>
        <w:rPr>
          <w:rStyle w:val="VerbatimChar"/>
        </w:rPr>
        <w:t xml:space="preserve">925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925</w:t>
      </w:r>
      <w:r>
        <w:t xml:space="preserve"> </w:t>
      </w:r>
      <w:r>
        <w:t xml:space="preserve">может повторяться для разных томов или для разных заглавий одного тома, если у произведений разные авторы или другие дополнительные данные.</w:t>
      </w:r>
    </w:p>
    <w:p>
      <w:pPr>
        <w:pStyle w:val="BodyText"/>
      </w:pPr>
      <w:r>
        <w:t xml:space="preserve">Данные авторов и лиц с вторичной ответственностью, введённые в</w:t>
      </w:r>
      <w:r>
        <w:t xml:space="preserve"> </w:t>
      </w:r>
      <w:r>
        <w:rPr>
          <w:rStyle w:val="VerbatimChar"/>
        </w:rPr>
        <w:t xml:space="preserve">925</w:t>
      </w:r>
      <w:r>
        <w:t xml:space="preserve">, могут использоваться для формирования сведений об ответственности и поисковых полей. После автоматического формирования сведения можно отредактировать вручную.</w:t>
      </w:r>
    </w:p>
    <w:p>
      <w:pPr>
        <w:pStyle w:val="BodyText"/>
      </w:pPr>
      <w:r>
        <w:t xml:space="preserve">Поле содержит признаки, которые управляют представлением данных в выходных документах: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Автор(ы) следующего тома (заглавия) ТЕ ЖЕ</w:t>
      </w:r>
      <w:r>
        <w:t xml:space="preserve"> </w:t>
      </w:r>
      <w:r>
        <w:t xml:space="preserve">используется, когда несколько, но не все произведения принадлежат одному автору. Авторы вводятся в каждое повторение поля, а признак ставится в тех повторениях, где авторы следующего тома или заглавия совпадают с текущими. В выходных документах такие авторы выводятся один раз после последнего произведения.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Автора текущего тома (заглавия) НЕТ, следующего - ЕСТЬ</w:t>
      </w:r>
      <w:r>
        <w:t xml:space="preserve"> </w:t>
      </w:r>
      <w:r>
        <w:t xml:space="preserve">используется в повторении, где текущий том или заглавие не имеет автора, а следующий имеет. В выходных документах между такими томами или заглавиями ставится разделительный знак.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Номер тома в форматах просмотра и КК не выводить</w:t>
      </w:r>
      <w:r>
        <w:t xml:space="preserve"> </w:t>
      </w:r>
      <w:r>
        <w:t xml:space="preserve">используется, когда в одном томе несколько произведений с разными дополнительными данными. Номер тома вводится в каждое повторение, но в непоследних повторениях ставится признак запрета вывода, чтобы номер был выведен один раз.</w:t>
      </w:r>
    </w:p>
    <w:bookmarkEnd w:id="26"/>
    <w:bookmarkStart w:id="27" w:name="поле-205-сведения-об-издании"/>
    <w:p>
      <w:pPr>
        <w:pStyle w:val="Heading2"/>
      </w:pPr>
      <w:r>
        <w:t xml:space="preserve">19. Поле 205: сведения об издании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205</w:t>
      </w:r>
      <w:r>
        <w:t xml:space="preserve"> </w:t>
      </w:r>
      <w:r>
        <w:t xml:space="preserve">содержит сведения об издании документа, дополнительные и параллельные сведения об издании, а также первые и последующие сведения об ответственности, относящиеся к изданию.</w:t>
      </w:r>
    </w:p>
    <w:p>
      <w:pPr>
        <w:pStyle w:val="BodyText"/>
      </w:pPr>
      <w:r>
        <w:t xml:space="preserve">Поле повторяется для дополнительных тиражей одного издания, если у них совпадают библиографические и выходные данные с первым изданием.</w:t>
      </w:r>
    </w:p>
    <w:bookmarkEnd w:id="27"/>
    <w:bookmarkStart w:id="28" w:name="поле-210-выходные-данные"/>
    <w:p>
      <w:pPr>
        <w:pStyle w:val="Heading2"/>
      </w:pPr>
      <w:r>
        <w:t xml:space="preserve">20. Поле 210: выходные данные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210</w:t>
      </w:r>
      <w:r>
        <w:t xml:space="preserve"> </w:t>
      </w:r>
      <w:r>
        <w:t xml:space="preserve">содержит сведения об издательстве или издающей организации, функции издающей организации, городах, годе издания, годе окончания издания для сериальных и периодических изданий, пояснениях к году, месте печати, типографии и дате изготовления.</w:t>
      </w:r>
    </w:p>
    <w:p>
      <w:pPr>
        <w:pStyle w:val="BodyText"/>
      </w:pPr>
      <w:r>
        <w:t xml:space="preserve">Поле повторяется по числу издательств. Каждому издательству может соответствовать до трёх городов. Если издательство уже вводилось в базу в другом документе, его можно перенести из словаря вместе с соответствующими городами. Год издания приводится один раз; если дата неизвестна, элемент данных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 </w:t>
      </w:r>
      <w:r>
        <w:t xml:space="preserve">не заполняется.</w:t>
      </w:r>
    </w:p>
    <w:p>
      <w:pPr>
        <w:pStyle w:val="BodyText"/>
      </w:pPr>
      <w:r>
        <w:t xml:space="preserve">Наименование издательства вместе с городами, города и год издания включаются в поисковые словари. Место печати, наименование типографии и дата изготовления обычно приводятся, когда издательство неизвестно.</w:t>
      </w:r>
    </w:p>
    <w:p>
      <w:pPr>
        <w:pStyle w:val="BodyText"/>
      </w:pPr>
      <w:r>
        <w:t xml:space="preserve">Для управления выводом можно указать:</w:t>
      </w:r>
    </w:p>
    <w:p>
      <w:pPr>
        <w:pStyle w:val="Compact"/>
        <w:numPr>
          <w:ilvl w:val="0"/>
          <w:numId w:val="1010"/>
        </w:numPr>
      </w:pPr>
      <w:r>
        <w:t xml:space="preserve">в первом повторении - выводить только первое издательство с пометой</w:t>
      </w:r>
      <w:r>
        <w:t xml:space="preserve"> </w:t>
      </w:r>
      <w:r>
        <w:rPr>
          <w:rStyle w:val="VerbatimChar"/>
        </w:rPr>
        <w:t xml:space="preserve">и др.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непервых повторениях - не выводить города, например когда несколько издательств расположены в одних городах;</w:t>
      </w:r>
    </w:p>
    <w:p>
      <w:pPr>
        <w:pStyle w:val="Compact"/>
        <w:numPr>
          <w:ilvl w:val="0"/>
          <w:numId w:val="1010"/>
        </w:numPr>
      </w:pPr>
      <w:r>
        <w:t xml:space="preserve">город на издании, если он отличается от стандартного написания. В словарь при этом попадает стандартное написание города.</w:t>
      </w:r>
    </w:p>
    <w:p>
      <w:pPr>
        <w:pStyle w:val="FirstParagraph"/>
      </w:pPr>
      <w:r>
        <w:t xml:space="preserve">При вводе тома многотомного издания в сводном описании поле можно не заполнять, если все выходные данные тома совпадают с общей частью сводного описания. Для сериальных изданий, прекративших существование, вводится год окончания издания.</w:t>
      </w:r>
    </w:p>
    <w:p>
      <w:pPr>
        <w:pStyle w:val="BodyText"/>
      </w:pPr>
      <w:r>
        <w:t xml:space="preserve">При описании электронного ресурса год может повторяться для разных составляющих одного документа.</w:t>
      </w:r>
    </w:p>
    <w:bookmarkEnd w:id="28"/>
    <w:bookmarkStart w:id="29" w:name="поле-215-количественные-характеристики"/>
    <w:p>
      <w:pPr>
        <w:pStyle w:val="Heading2"/>
      </w:pPr>
      <w:r>
        <w:t xml:space="preserve">21. Поле 215: количественные характеристики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215</w:t>
      </w:r>
      <w:r>
        <w:t xml:space="preserve"> </w:t>
      </w:r>
      <w:r>
        <w:t xml:space="preserve">содержит объём, единицу измерения, сведения об иллюстрациях, сопроводительном материале, размере, виде упаковки, признаке</w:t>
      </w:r>
      <w:r>
        <w:t xml:space="preserve"> </w:t>
      </w:r>
      <w:r>
        <w:rPr>
          <w:rStyle w:val="VerbatimChar"/>
        </w:rPr>
        <w:t xml:space="preserve">не на баланс</w:t>
      </w:r>
      <w:r>
        <w:t xml:space="preserve">, тираже и признаке</w:t>
      </w:r>
      <w:r>
        <w:t xml:space="preserve"> </w:t>
      </w:r>
      <w:r>
        <w:rPr>
          <w:rStyle w:val="VerbatimChar"/>
        </w:rPr>
        <w:t xml:space="preserve">Состоит из ... книг</w:t>
      </w:r>
      <w:r>
        <w:t xml:space="preserve">.</w:t>
      </w:r>
    </w:p>
    <w:p>
      <w:pPr>
        <w:pStyle w:val="BodyText"/>
      </w:pPr>
      <w:r>
        <w:t xml:space="preserve">При описании электронных ресурсов или при сложной пагинации поле может повторяться. Все элементы данных записываются по общим правилам без предшествующих разделительных знаков; в элементе</w:t>
      </w:r>
      <w:r>
        <w:t xml:space="preserve"> </w:t>
      </w:r>
      <w:r>
        <w:rPr>
          <w:rStyle w:val="VerbatimChar"/>
        </w:rPr>
        <w:t xml:space="preserve">Объём</w:t>
      </w:r>
      <w:r>
        <w:t xml:space="preserve"> </w:t>
      </w:r>
      <w:r>
        <w:t xml:space="preserve">указываются только цифры. Сложная, двойная или параллельная пагинация вводится полными данными; разнотипная пагинация записывается в разные повторения поля.</w:t>
      </w:r>
    </w:p>
    <w:p>
      <w:pPr>
        <w:pStyle w:val="BodyText"/>
      </w:pPr>
      <w:r>
        <w:t xml:space="preserve">Единица измерения объёма основного документа и сопроводительного материала выбирается через меню для документов разных типов. Если она не заполнена, значение берётся из</w:t>
      </w:r>
      <w:r>
        <w:t xml:space="preserve"> </w:t>
      </w:r>
      <w:r>
        <w:rPr>
          <w:rStyle w:val="VerbatimChar"/>
        </w:rPr>
        <w:t xml:space="preserve">ORG.MNU</w:t>
      </w:r>
      <w:r>
        <w:t xml:space="preserve">.</w:t>
      </w:r>
    </w:p>
    <w:p>
      <w:pPr>
        <w:pStyle w:val="BodyText"/>
      </w:pPr>
      <w:r>
        <w:t xml:space="preserve">Для электронных ресурсов единица измерения вводится в форме, совместимой с требованиями ГОСТ и UNIMARC, чтобы одни и те же данные можно было использовать и в документе, и при конвертировании в коммуникативные форматы.</w:t>
      </w:r>
    </w:p>
    <w:p>
      <w:pPr>
        <w:pStyle w:val="BodyText"/>
      </w:pPr>
      <w:r>
        <w:t xml:space="preserve">Сведения об иллюстрациях можно вводить через меню в режиме мультиввода. Вид упаковки предназначен главным образом для нот, грампластинок и других нетрадиционных изданий. Признак</w:t>
      </w:r>
      <w:r>
        <w:t xml:space="preserve"> </w:t>
      </w:r>
      <w:r>
        <w:rPr>
          <w:rStyle w:val="VerbatimChar"/>
        </w:rPr>
        <w:t xml:space="preserve">Состоит из ... книг</w:t>
      </w:r>
      <w:r>
        <w:t xml:space="preserve"> </w:t>
      </w:r>
      <w:r>
        <w:t xml:space="preserve">полезен, например, когда после переплёта старая книга разделяется на несколько частей, на каждую из которых готовится карточка-формуляр.</w:t>
      </w:r>
    </w:p>
    <w:p>
      <w:pPr>
        <w:pStyle w:val="BodyText"/>
      </w:pPr>
      <w:r>
        <w:t xml:space="preserve">Признак</w:t>
      </w:r>
      <w:r>
        <w:t xml:space="preserve"> </w:t>
      </w:r>
      <w:r>
        <w:rPr>
          <w:rStyle w:val="VerbatimChar"/>
        </w:rPr>
        <w:t xml:space="preserve">не на баланс</w:t>
      </w:r>
      <w:r>
        <w:t xml:space="preserve"> </w:t>
      </w:r>
      <w:r>
        <w:t xml:space="preserve">означает, что документ не будет выдаваться в инвентарные списки, но будет отражён в книге суммарного учёта. Для определения брошюры или другого вида документа для анализа в КСУ используется соответствующий код в элементе</w:t>
      </w:r>
      <w:r>
        <w:t xml:space="preserve"> </w:t>
      </w:r>
      <w:r>
        <w:rPr>
          <w:rStyle w:val="VerbatimChar"/>
        </w:rPr>
        <w:t xml:space="preserve">Характер документа</w:t>
      </w:r>
      <w:r>
        <w:t xml:space="preserve">.</w:t>
      </w:r>
    </w:p>
    <w:bookmarkEnd w:id="29"/>
    <w:bookmarkStart w:id="30" w:name="страница-рл-расширенное-бо"/>
    <w:p>
      <w:pPr>
        <w:pStyle w:val="Heading2"/>
      </w:pPr>
      <w:r>
        <w:t xml:space="preserve">22. Страница РЛ</w:t>
      </w:r>
      <w:r>
        <w:t xml:space="preserve"> </w:t>
      </w:r>
      <w:r>
        <w:rPr>
          <w:rStyle w:val="VerbatimChar"/>
        </w:rPr>
        <w:t xml:space="preserve">Расширенное БО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Расширенное БО</w:t>
      </w:r>
      <w:r>
        <w:t xml:space="preserve"> </w:t>
      </w:r>
      <w:r>
        <w:t xml:space="preserve">содержит дополнительные элементы библиографического описания: примечания, сведения о диссертации, область серии, варианты заглавий и связи с другими изданиями.</w:t>
      </w:r>
    </w:p>
    <w:bookmarkEnd w:id="30"/>
    <w:bookmarkStart w:id="31" w:name="поля-300-912-320-и-314-примечания"/>
    <w:p>
      <w:pPr>
        <w:pStyle w:val="Heading2"/>
      </w:pPr>
      <w:r>
        <w:t xml:space="preserve">23. Поля 300, 912, 320 и 314: примечания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300</w:t>
      </w:r>
      <w:r>
        <w:t xml:space="preserve"> </w:t>
      </w:r>
      <w:r>
        <w:t xml:space="preserve">используется для общих примечаний. Слова, заключённые в угловые скобки, включаются в словарь ключевых слов.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912</w:t>
      </w:r>
      <w:r>
        <w:t xml:space="preserve"> </w:t>
      </w:r>
      <w:r>
        <w:t xml:space="preserve">содержит примечание о языке и заполняется в свободной форме.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320</w:t>
      </w:r>
      <w:r>
        <w:t xml:space="preserve"> </w:t>
      </w:r>
      <w:r>
        <w:t xml:space="preserve">содержит примечание о наличии библиографии. Данные вводятся с использованием справочника</w:t>
      </w:r>
      <w:r>
        <w:t xml:space="preserve"> </w:t>
      </w:r>
      <w:r>
        <w:rPr>
          <w:rStyle w:val="VerbatimChar"/>
        </w:rPr>
        <w:t xml:space="preserve">320.mnu</w:t>
      </w:r>
      <w:r>
        <w:t xml:space="preserve">; за одно обращение можно выбрать несколько типовых констант, после чего нужно добавить цифровые данные.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314</w:t>
      </w:r>
      <w:r>
        <w:t xml:space="preserve"> </w:t>
      </w:r>
      <w:r>
        <w:t xml:space="preserve">содержит примечание об интеллектуальной ответственности и заполняется в свободной форме.</w:t>
      </w:r>
    </w:p>
    <w:bookmarkEnd w:id="31"/>
    <w:bookmarkStart w:id="32" w:name="поле-328-примечание-о-диссертации"/>
    <w:p>
      <w:pPr>
        <w:pStyle w:val="Heading2"/>
      </w:pPr>
      <w:r>
        <w:t xml:space="preserve">24. Поле 328: примечание о диссертации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содержит учёную степень, коды номенклатуры специальности, дату защиты, дату утверждения, номер государственной регистрации и место защиты.</w:t>
      </w:r>
    </w:p>
    <w:p>
      <w:pPr>
        <w:pStyle w:val="BodyText"/>
      </w:pPr>
      <w:r>
        <w:t xml:space="preserve">Код номенклатуры специальности может вводиться до трёх раз через меню и включается в поисковый словарь. Если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заполнено, а сведения, относящиеся к заглавию, отсутствуют, при сохранении документа они могут формироваться с учётом кода характера документа: автореферат или диссертация.</w:t>
      </w:r>
    </w:p>
    <w:p>
      <w:pPr>
        <w:pStyle w:val="BodyText"/>
      </w:pPr>
      <w:r>
        <w:t xml:space="preserve">Актуальный справочник специальностей для этого поля основан на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 </w:t>
      </w:r>
      <w:r>
        <w:t xml:space="preserve">- Общероссийском классификаторе специальностей высшей научной квалификации. В типовой поставке выбор кодов выполняется через меню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 </w:t>
      </w:r>
      <w:r>
        <w:t xml:space="preserve">и дерево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; для вывода наименований используются связанные меню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Если организация размещает локальную копию этих справочников в каталоге конкретной БД, нужно обновлять согласованный набор файлов и сохранять имена в нижнем регистре. Это важно для одинаковой работы на Windows и Linux: файл из каталога БД перекрывает одноимённый общий файл из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bookmarkEnd w:id="32"/>
    <w:bookmarkStart w:id="33" w:name="поле-225-область-серии"/>
    <w:p>
      <w:pPr>
        <w:pStyle w:val="Heading2"/>
      </w:pPr>
      <w:r>
        <w:t xml:space="preserve">25. Поле 225: область серии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225</w:t>
      </w:r>
      <w:r>
        <w:t xml:space="preserve"> </w:t>
      </w:r>
      <w:r>
        <w:t xml:space="preserve">содержит сведения о серии, подсерии и разделе подсерии: наименование, обозначение и номер выпуска, сведения к заглавию, сведения об ответственности, параллельные заглавия, язык параллельного заглавия, ISSN и признаки управления выводом.</w:t>
      </w:r>
    </w:p>
    <w:p>
      <w:pPr>
        <w:pStyle w:val="BodyText"/>
      </w:pPr>
      <w:r>
        <w:t xml:space="preserve">Если на том многотомника с частным заглавием вводится монографическое описание, в первом повторении поля</w:t>
      </w:r>
      <w:r>
        <w:t xml:space="preserve"> </w:t>
      </w:r>
      <w:r>
        <w:rPr>
          <w:rStyle w:val="VerbatimChar"/>
        </w:rPr>
        <w:t xml:space="preserve">225</w:t>
      </w:r>
      <w:r>
        <w:t xml:space="preserve"> </w:t>
      </w:r>
      <w:r>
        <w:t xml:space="preserve">вводятся сведения об общей части многотомного издания и номере тома. В других повторениях указываются серии, в которые входит многотомное издание в целом или отдельный описываемый том.</w:t>
      </w:r>
    </w:p>
    <w:p>
      <w:pPr>
        <w:pStyle w:val="BodyText"/>
      </w:pPr>
      <w:r>
        <w:t xml:space="preserve">Если на такой том вводится сводное описание, в</w:t>
      </w:r>
      <w:r>
        <w:t xml:space="preserve"> </w:t>
      </w:r>
      <w:r>
        <w:rPr>
          <w:rStyle w:val="VerbatimChar"/>
        </w:rPr>
        <w:t xml:space="preserve">225</w:t>
      </w:r>
      <w:r>
        <w:t xml:space="preserve"> </w:t>
      </w:r>
      <w:r>
        <w:t xml:space="preserve">вводятся только серии отдельного тома и номер тома в них. Заглавие общей части и серии издания в целом вводятся в 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, а номер тома - в поле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Сведения, относящиеся к заглавию серии, могут автоматически приводиться к строчной букве в соответствии с правилами ГОСТ. Если преобразование выполнять не нужно, используется признак</w:t>
      </w:r>
      <w:r>
        <w:t xml:space="preserve"> </w:t>
      </w:r>
      <w:r>
        <w:rPr>
          <w:rStyle w:val="VerbatimChar"/>
        </w:rPr>
        <w:t xml:space="preserve">Первый символ в сведениях к заглавию - прописная буква?</w:t>
      </w:r>
      <w:r>
        <w:t xml:space="preserve">.</w:t>
      </w:r>
    </w:p>
    <w:p>
      <w:pPr>
        <w:pStyle w:val="BodyText"/>
      </w:pPr>
      <w:r>
        <w:t xml:space="preserve">Наименование серии можно вводить из словаря. Оно включается вместе со сведениями об ответственности в словарь заглавий серий и в общий поисковый словарь заглавий, а отдельные слова - в словарь ключевых слов. Каталогизатор может указать, выводить ли сведения о серии и нужна ли добавочная карточка на серию.</w:t>
      </w:r>
    </w:p>
    <w:bookmarkEnd w:id="33"/>
    <w:bookmarkStart w:id="34" w:name="поле-510-параллельные-заглавия"/>
    <w:p>
      <w:pPr>
        <w:pStyle w:val="Heading2"/>
      </w:pPr>
      <w:r>
        <w:t xml:space="preserve">26. Поле 510: параллельные заглавия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содержит заглавия на языках, отличных от языка основного заглавия, сведения к параллельному заглавию, сведения об ответственности, язык параллельного заглавия и признак необходимости добавочной карточки.</w:t>
      </w:r>
    </w:p>
    <w:p>
      <w:pPr>
        <w:pStyle w:val="BodyText"/>
      </w:pPr>
      <w:r>
        <w:t xml:space="preserve">Поле повторяется. Все параллельные заглавия включаются в словарь заглавий, отдельные слова - в словарь ключевых слов. По умолчанию на параллельные заглавия готовятся добавочные каталожные карточки.</w:t>
      </w:r>
    </w:p>
    <w:bookmarkEnd w:id="34"/>
    <w:bookmarkStart w:id="35" w:name="поле-517-разночтения-заглавий"/>
    <w:p>
      <w:pPr>
        <w:pStyle w:val="Heading2"/>
      </w:pPr>
      <w:r>
        <w:t xml:space="preserve">27. Поле 517: разночтения заглавий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517</w:t>
      </w:r>
      <w:r>
        <w:t xml:space="preserve"> </w:t>
      </w:r>
      <w:r>
        <w:t xml:space="preserve">содержит другие варианты заглавия: заглавие на обложке, дополнительном титульном листе, корешке, колонтитуле, заглавие, составленное каталогизатором, а для электронного ресурса также второе заглавие на экране или заглавие на контейнере.</w:t>
      </w:r>
    </w:p>
    <w:p>
      <w:pPr>
        <w:pStyle w:val="BodyText"/>
      </w:pPr>
      <w:r>
        <w:t xml:space="preserve">Для разночтения указываются тип, сведения к заглавию и признаки управления выводом: показывать ли разночтение в библиографическом описании и нужна ли добавочная карточка. Разночтения включаются в словарь заглавий, отдельные слова - в словарь ключевых слов.</w:t>
      </w:r>
    </w:p>
    <w:bookmarkEnd w:id="35"/>
    <w:bookmarkStart w:id="36" w:name="поле-921-транслитерированное-заглавие"/>
    <w:p>
      <w:pPr>
        <w:pStyle w:val="Heading2"/>
      </w:pPr>
      <w:r>
        <w:t xml:space="preserve">28. Поле 921: транслитерированное заглавие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921</w:t>
      </w:r>
      <w:r>
        <w:t xml:space="preserve"> </w:t>
      </w:r>
      <w:r>
        <w:t xml:space="preserve">используется для заглавия документа на языке нестандартной графики, приведённого в транслитерированном виде стандартной графикой, например кириллицей или латиницей.</w:t>
      </w:r>
    </w:p>
    <w:p>
      <w:pPr>
        <w:pStyle w:val="BodyText"/>
      </w:pPr>
      <w:r>
        <w:t xml:space="preserve">В поле указываются транслитерированное заглавие и язык источника транслитерации. При наличии транслитерированного заглавия нужно заполнить данные о графике заглавия в области кодированной информации.</w:t>
      </w:r>
    </w:p>
    <w:bookmarkEnd w:id="36"/>
    <w:bookmarkStart w:id="37" w:name="X0e22a1f4b41973fcd7aff50231c74a3ac57ccc1"/>
    <w:p>
      <w:pPr>
        <w:pStyle w:val="Heading2"/>
      </w:pPr>
      <w:r>
        <w:t xml:space="preserve">29. Поля 421 и 422: самостоятельное приложение и основной документ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содержит отсылку от основного документа к самостоятельно хранящемуся приложению. В нём указываются заглавие приложения, год выхода, издательство, город, объём, ISSN или ISBN, идентификационный номер, издание публикации, физический носитель, примечание, шифр в БД и авторский знак.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422</w:t>
      </w:r>
      <w:r>
        <w:t xml:space="preserve"> </w:t>
      </w:r>
      <w:r>
        <w:t xml:space="preserve">используется в обратной ситуации: каталогизируется отдельно хранящееся приложение, а поле содержит отсылку к основному документу.</w:t>
      </w:r>
    </w:p>
    <w:p>
      <w:pPr>
        <w:pStyle w:val="BodyText"/>
      </w:pPr>
      <w:r>
        <w:t xml:space="preserve">Если сведения о приложении или основном документе уже есть в электронной базе, их можно получить из словаря по наименованию, идентификационному номеру или ISBN. Связанные документы можно быстро найти в режиме поиска по связи.</w:t>
      </w:r>
    </w:p>
    <w:bookmarkEnd w:id="37"/>
    <w:bookmarkStart w:id="38" w:name="Xd0201923c40823815810b9bdb5d6959d4dbb9f6"/>
    <w:p>
      <w:pPr>
        <w:pStyle w:val="Heading2"/>
      </w:pPr>
      <w:r>
        <w:t xml:space="preserve">30. Поле 454: оригинальное издание - источник перевода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454</w:t>
      </w:r>
      <w:r>
        <w:t xml:space="preserve"> </w:t>
      </w:r>
      <w:r>
        <w:t xml:space="preserve">содержит структурированные сведения об издании, по которому сделано описываемое переводное издание: заглавие, сведения к заглавию, авторов, коллективы, выходные данные, сведения о переиздании, вид документа, источник публикации статьи, ISBN, ISSN и признаки карточек.</w:t>
      </w:r>
    </w:p>
    <w:p>
      <w:pPr>
        <w:pStyle w:val="BodyText"/>
      </w:pPr>
      <w:r>
        <w:t xml:space="preserve">Авторы и издательство могут вводиться через словари. Города можно выбирать через меню, включая несколько городов одного издательства. Заглавие источника перевода включается в словарь заглавий, отдельные слова - в словарь ключевых слов.</w:t>
      </w:r>
    </w:p>
    <w:p>
      <w:pPr>
        <w:pStyle w:val="BodyText"/>
      </w:pPr>
      <w:r>
        <w:t xml:space="preserve">Вид документа заполняется обязательно, потому что по нему формируются константы в форматах просмотра и каталожной карточки. Если каталогизируемый документ является переводом многотомного издания в целом, нужно указать признак</w:t>
      </w:r>
      <w:r>
        <w:t xml:space="preserve"> </w:t>
      </w:r>
      <w:r>
        <w:rPr>
          <w:rStyle w:val="VerbatimChar"/>
        </w:rPr>
        <w:t xml:space="preserve">Источник перевода - общая часть многотомника?</w:t>
      </w:r>
      <w:r>
        <w:t xml:space="preserve">, который определяет место вывода сведений об источнике перевода.</w:t>
      </w:r>
    </w:p>
    <w:bookmarkEnd w:id="38"/>
    <w:bookmarkStart w:id="39" w:name="поле-481-приплетённые-издания"/>
    <w:p>
      <w:pPr>
        <w:pStyle w:val="Heading2"/>
      </w:pPr>
      <w:r>
        <w:t xml:space="preserve">31. Поле 481: приплетённые издания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481</w:t>
      </w:r>
      <w:r>
        <w:t xml:space="preserve"> </w:t>
      </w:r>
      <w:r>
        <w:t xml:space="preserve">содержит сведения об издании, вышедшем самостоятельно и позже объединённом с другими изданиями в одном переплёте. Поле повторяется: каждое повторение описывает одно приплетённое издание.</w:t>
      </w:r>
    </w:p>
    <w:p>
      <w:pPr>
        <w:pStyle w:val="BodyText"/>
      </w:pPr>
      <w:r>
        <w:t xml:space="preserve">При вводе применяются те же правила, что и для аналогичных элементов в основных полях: авторы вводятся через словарь или с клавиатуры, сведения об ответственности могут пополняться автоматически, издательство и города выбираются из словарей и меню, сведения об иллюстрациях вводятся через меню.</w:t>
      </w:r>
    </w:p>
    <w:p>
      <w:pPr>
        <w:pStyle w:val="BodyText"/>
      </w:pPr>
      <w:r>
        <w:t xml:space="preserve">Если каталогизируемый документ является томом многотомника, для приплетённого издания дополнительно указываются признаки общего заглавия многотомника, заглавие тома, признак нехарактерного заглавия тома, обозначение и номер тома. Если описание приплетённого издания уже есть в базе как самостоятельный документ, можно указать его шифр.</w:t>
      </w:r>
    </w:p>
    <w:p>
      <w:pPr>
        <w:pStyle w:val="BodyText"/>
      </w:pPr>
      <w:r>
        <w:t xml:space="preserve">Авторы, издательства, заглавия и ключевые слова из</w:t>
      </w:r>
      <w:r>
        <w:t xml:space="preserve"> </w:t>
      </w:r>
      <w:r>
        <w:rPr>
          <w:rStyle w:val="VerbatimChar"/>
        </w:rPr>
        <w:t xml:space="preserve">481</w:t>
      </w:r>
      <w:r>
        <w:t xml:space="preserve"> </w:t>
      </w:r>
      <w:r>
        <w:t xml:space="preserve">попадают в соответствующие поисковые словари. При необходимости можно создать аналитическое описание на аллигат; для этого в служебном поле</w:t>
      </w:r>
      <w:r>
        <w:t xml:space="preserve"> </w:t>
      </w:r>
      <w:r>
        <w:rPr>
          <w:rStyle w:val="VerbatimChar"/>
        </w:rPr>
        <w:t xml:space="preserve">932</w:t>
      </w:r>
      <w:r>
        <w:t xml:space="preserve"> </w:t>
      </w:r>
      <w:r>
        <w:t xml:space="preserve">указывается номер поля</w:t>
      </w:r>
      <w:r>
        <w:t xml:space="preserve"> </w:t>
      </w:r>
      <w:r>
        <w:rPr>
          <w:rStyle w:val="VerbatimChar"/>
        </w:rPr>
        <w:t xml:space="preserve">481</w:t>
      </w:r>
      <w:r>
        <w:t xml:space="preserve"> </w:t>
      </w:r>
      <w:r>
        <w:t xml:space="preserve">для копирования.</w:t>
      </w:r>
    </w:p>
    <w:bookmarkEnd w:id="39"/>
    <w:bookmarkStart w:id="40" w:name="поле-488-другие-связанные-издания"/>
    <w:p>
      <w:pPr>
        <w:pStyle w:val="Heading2"/>
      </w:pPr>
      <w:r>
        <w:t xml:space="preserve">32. Поле 488: другие связанные издания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 </w:t>
      </w:r>
      <w:r>
        <w:t xml:space="preserve">содержит сведения о других связанных изданиях и вид связи. По структуре оно близко к</w:t>
      </w:r>
      <w:r>
        <w:t xml:space="preserve"> </w:t>
      </w:r>
      <w:r>
        <w:rPr>
          <w:rStyle w:val="VerbatimChar"/>
        </w:rPr>
        <w:t xml:space="preserve">481</w:t>
      </w:r>
      <w:r>
        <w:t xml:space="preserve">, но дополнительно может указывать, выводить ли связь в область примечаний, конкретную страницу в связанном издании, имя базы данных и другие идентификаторы.</w:t>
      </w:r>
    </w:p>
    <w:p>
      <w:pPr>
        <w:pStyle w:val="BodyText"/>
      </w:pPr>
      <w:r>
        <w:t xml:space="preserve">Заглавие связанного издания может заимствоваться через словарь из текущей или настроенной базы электронного каталога. Авторы, сведения об ответственности, издательства, города, иллюстрации и объём вводятся по тем же правилам, что и в поле</w:t>
      </w:r>
      <w:r>
        <w:t xml:space="preserve"> </w:t>
      </w:r>
      <w:r>
        <w:rPr>
          <w:rStyle w:val="VerbatimChar"/>
        </w:rPr>
        <w:t xml:space="preserve">481</w:t>
      </w:r>
      <w:r>
        <w:t xml:space="preserve">.</w:t>
      </w:r>
    </w:p>
    <w:p>
      <w:pPr>
        <w:pStyle w:val="BodyText"/>
      </w:pPr>
      <w:r>
        <w:t xml:space="preserve">Авторы связанных изданий включаются в словарь авторов, издательства - в словарь издающих организаций, заглавия - в словарь заглавий, отдельные слова - в словарь ключевых слов.</w:t>
      </w:r>
    </w:p>
    <w:bookmarkEnd w:id="40"/>
    <w:bookmarkStart w:id="41" w:name="страница-рл-специфические"/>
    <w:p>
      <w:pPr>
        <w:pStyle w:val="Heading2"/>
      </w:pPr>
      <w:r>
        <w:t xml:space="preserve">33. Страница РЛ</w:t>
      </w:r>
      <w:r>
        <w:t xml:space="preserve"> </w:t>
      </w:r>
      <w:r>
        <w:rPr>
          <w:rStyle w:val="VerbatimChar"/>
        </w:rPr>
        <w:t xml:space="preserve">Специфические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Специфические</w:t>
      </w:r>
      <w:r>
        <w:t xml:space="preserve"> </w:t>
      </w:r>
      <w:r>
        <w:t xml:space="preserve">содержит поля, которые применяются не для каждого библиографического описания, а для отдельных видов документов: электронных ресурсов, патентов и нормативно-технических документов, звукозаписей, нот, картографических материалов, кино-, видео- и микроформ.</w:t>
      </w:r>
    </w:p>
    <w:bookmarkEnd w:id="41"/>
    <w:bookmarkStart w:id="42" w:name="поле-230-сведения-об-электронном-ресурсе"/>
    <w:p>
      <w:pPr>
        <w:pStyle w:val="Heading2"/>
      </w:pPr>
      <w:r>
        <w:t xml:space="preserve">34. Поле 230: сведения об электронном ресурсе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230</w:t>
      </w:r>
      <w:r>
        <w:t xml:space="preserve"> </w:t>
      </w:r>
      <w:r>
        <w:t xml:space="preserve">заполняется по сопроводительной этикетке электронного ресурса: магнитного, оптического или другого носителя. В нём указываются принадлежность ресурса к основному документу или приложению, вид и объём ресурса, наличие цвета и звука, системные требования и уточнение к ним.</w:t>
      </w:r>
    </w:p>
    <w:p>
      <w:pPr>
        <w:pStyle w:val="BodyText"/>
      </w:pPr>
      <w:r>
        <w:t xml:space="preserve">Поле повторяется по числу видов электронных ресурсов в документе. Вид и объём ресурса вводятся через справочник-меню, составленный по терминологии ГОСТ для электронных ресурсов. Наличие цвета и звука вводится через меню в форме, совместимой с требованиями ГОСТ и UNIMARC.</w:t>
      </w:r>
    </w:p>
    <w:p>
      <w:pPr>
        <w:pStyle w:val="BodyText"/>
      </w:pPr>
      <w:r>
        <w:t xml:space="preserve">Системные требования вводятся с использованием словаря базы данных. Этот словарь предназначен для ввода и корректуры, а не для поиска. Данные из словаря разделяются последовательностью</w:t>
      </w:r>
      <w:r>
        <w:t xml:space="preserve"> </w:t>
      </w:r>
      <w:r>
        <w:rPr>
          <w:rStyle w:val="VerbatimChar"/>
        </w:rPr>
        <w:t xml:space="preserve">;</w:t>
      </w:r>
      <w:r>
        <w:t xml:space="preserve">. При сохранении документа система формирует служебное поле</w:t>
      </w:r>
      <w:r>
        <w:t xml:space="preserve"> </w:t>
      </w:r>
      <w:r>
        <w:rPr>
          <w:rStyle w:val="VerbatimChar"/>
        </w:rPr>
        <w:t xml:space="preserve">239</w:t>
      </w:r>
      <w:r>
        <w:t xml:space="preserve">, где системные требования разделяются по повторениям и затем попадают в словарь для повторного использования.</w:t>
      </w:r>
    </w:p>
    <w:bookmarkEnd w:id="42"/>
    <w:bookmarkStart w:id="43" w:name="X0e606e5b40df660e11ac58780c011844914dbd9"/>
    <w:p>
      <w:pPr>
        <w:pStyle w:val="Heading2"/>
      </w:pPr>
      <w:r>
        <w:t xml:space="preserve">35. Поле 337: примечания к электронному ресурсу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337</w:t>
      </w:r>
      <w:r>
        <w:t xml:space="preserve"> </w:t>
      </w:r>
      <w:r>
        <w:t xml:space="preserve">содержит источник основного заглавия, примечание о библиографической истории, примечание о датах и другие примечания к электронному ресурсу.</w:t>
      </w:r>
    </w:p>
    <w:p>
      <w:pPr>
        <w:pStyle w:val="BodyText"/>
      </w:pPr>
      <w:r>
        <w:t xml:space="preserve">Разделение на подполя нужно для подключения справочников. В коммуникативные форматы данные передаются в автоматически собранном виде; так же они вводятся в записях, принятых из коммуникативного формата.</w:t>
      </w:r>
    </w:p>
    <w:bookmarkEnd w:id="43"/>
    <w:bookmarkStart w:id="44" w:name="Xd52d7ea75ec35e0628f0819e494c31c600bcec1"/>
    <w:p>
      <w:pPr>
        <w:pStyle w:val="Heading2"/>
      </w:pPr>
      <w:r>
        <w:t xml:space="preserve">36. Поле 333: особенности распространения и использования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применяется для примечаний об особенностях распространения и использования документа. Его заполняют, когда для документа нужно зафиксировать ограничения, специальный порядок распространения, служебную пометку или другой признак, влияющий на показ, отбор или дальнейшую обработку записи.</w:t>
      </w:r>
    </w:p>
    <w:p>
      <w:pPr>
        <w:pStyle w:val="BodyText"/>
      </w:pPr>
      <w:r>
        <w:t xml:space="preserve">Для материалов, связанных с лицами, находящимися под иностранным влиянием,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используют по принятой в организации методике. В типовой поставке авторитетная база индивидуальных авторов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дополнительно поддерживает структурированный признак иностранного агента и формирует по нему поисковый термин с префиксом</w:t>
      </w:r>
      <w:r>
        <w:t xml:space="preserve"> </w:t>
      </w:r>
      <w:r>
        <w:rPr>
          <w:rStyle w:val="VerbatimChar"/>
        </w:rPr>
        <w:t xml:space="preserve">INO=</w:t>
      </w:r>
      <w:r>
        <w:t xml:space="preserve">. Поэтому перед ручным вводом сведений в библиографическую запись нужно проверить, есть ли связанная авторитетная запись автора и заполнен ли в ней соответствующий признак.</w:t>
      </w:r>
    </w:p>
    <w:p>
      <w:pPr>
        <w:pStyle w:val="BodyText"/>
      </w:pPr>
      <w:r>
        <w:t xml:space="preserve">Если признак вводится непосредственно в библиографической записи, он должен быть согласован с данными полей ответственности (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) и с локальными подполями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если такие подполя включены в рабочий лист. Не дублируйте один и тот же признак разными способами без локального правила: это может привести к расхождению между просмотром записи, поисковым отбором и выгрузкой в коммуникативные форматы.</w:t>
      </w:r>
    </w:p>
    <w:bookmarkEnd w:id="44"/>
    <w:bookmarkStart w:id="45" w:name="поле-135-коды-электронного-ресурса"/>
    <w:p>
      <w:pPr>
        <w:pStyle w:val="Heading2"/>
      </w:pPr>
      <w:r>
        <w:t xml:space="preserve">37. Поле 135: коды электронного ресурса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135</w:t>
      </w:r>
      <w:r>
        <w:t xml:space="preserve"> </w:t>
      </w:r>
      <w:r>
        <w:t xml:space="preserve">содержит коды электронного ресурса, не включённые в основное поле</w:t>
      </w:r>
      <w:r>
        <w:t xml:space="preserve"> </w:t>
      </w:r>
      <w:r>
        <w:rPr>
          <w:rStyle w:val="VerbatimChar"/>
        </w:rPr>
        <w:t xml:space="preserve">230</w:t>
      </w:r>
      <w:r>
        <w:t xml:space="preserve">, прежде всего тип файла и принадлежность к основному документу или приложению.</w:t>
      </w:r>
    </w:p>
    <w:bookmarkEnd w:id="45"/>
    <w:bookmarkStart w:id="46" w:name="X0a298d62e6566845ec77bd8800bd6a87bf6d08a"/>
    <w:p>
      <w:pPr>
        <w:pStyle w:val="Heading2"/>
      </w:pPr>
      <w:r>
        <w:t xml:space="preserve">38. Поле 982: патенты, отчёты о НИР, НТД и юридические документы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982</w:t>
      </w:r>
      <w:r>
        <w:t xml:space="preserve"> </w:t>
      </w:r>
      <w:r>
        <w:t xml:space="preserve">применяется при описании книг, многотомников и аналитических записей патентных, директивных и нормативно-технических документов. Поле повторяется.</w:t>
      </w:r>
    </w:p>
    <w:p>
      <w:pPr>
        <w:pStyle w:val="BodyText"/>
      </w:pPr>
      <w:r>
        <w:t xml:space="preserve">Для отчётов о НИР вводятся номер темы, номер этапа или части, номер задания, номер государственной регистрации и инвентарный номер ВНТИЦентра.</w:t>
      </w:r>
    </w:p>
    <w:p>
      <w:pPr>
        <w:pStyle w:val="BodyText"/>
      </w:pPr>
      <w:r>
        <w:t xml:space="preserve">Для патентов и других охранных документов вводятся вид патентного документа, номер, страна или международная организация, классификация изобретений, индексы, регистрационные данные заявки, даты подачи и публикации, место публикации и сведения о конвенционном приоритете.</w:t>
      </w:r>
    </w:p>
    <w:p>
      <w:pPr>
        <w:pStyle w:val="BodyText"/>
      </w:pPr>
      <w:r>
        <w:t xml:space="preserve">Для нормативно-технических и юридических документов вводятся вид документа, номер, сведения о заменяемом документе, дата введения и срок действия.</w:t>
      </w:r>
    </w:p>
    <w:p>
      <w:pPr>
        <w:pStyle w:val="BodyText"/>
      </w:pPr>
      <w:r>
        <w:t xml:space="preserve">Для патентных и нормативно-технических документов из вида и номера автоматически формируется шифр документа в БД. По умолчанию сведения выводятся в области заголовка описания; при необходимости их можно вывести в область сведений к заглавию через соответствующий признак роли.</w:t>
      </w:r>
    </w:p>
    <w:bookmarkEnd w:id="46"/>
    <w:bookmarkStart w:id="47" w:name="Xb30f1c2ccaf58f0c8aabae5f8ab18b9de01d22c"/>
    <w:p>
      <w:pPr>
        <w:pStyle w:val="Heading2"/>
      </w:pPr>
      <w:r>
        <w:t xml:space="preserve">39. Поля 125 и 36: звукозаписи, нотные издания и нотный инципит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125</w:t>
      </w:r>
      <w:r>
        <w:t xml:space="preserve"> </w:t>
      </w:r>
      <w:r>
        <w:t xml:space="preserve">содержит данные о музыкальном или звуковом произведении в целом: принадлежность к основному документу или приложению, продолжительность, характеристики воспроизведения, партитуру, музыкальную форму, жанр, инструменты и голоса, тональность, обозначение номера произведения, признак аранжировки и сведения о форме изложения нотного текста.</w:t>
      </w:r>
    </w:p>
    <w:p>
      <w:pPr>
        <w:pStyle w:val="BodyText"/>
      </w:pPr>
      <w:r>
        <w:t xml:space="preserve">Кодированные данные в</w:t>
      </w:r>
      <w:r>
        <w:t xml:space="preserve"> </w:t>
      </w:r>
      <w:r>
        <w:rPr>
          <w:rStyle w:val="VerbatimChar"/>
        </w:rPr>
        <w:t xml:space="preserve">125</w:t>
      </w:r>
      <w:r>
        <w:t xml:space="preserve"> </w:t>
      </w:r>
      <w:r>
        <w:t xml:space="preserve">представлены так, чтобы их можно было выводить в форматах просмотра в виде текстовых пояснений.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36</w:t>
      </w:r>
      <w:r>
        <w:t xml:space="preserve"> </w:t>
      </w:r>
      <w:r>
        <w:t xml:space="preserve">используется для нотного инципита: первых нот выбранного фрагмента. Оно применяется для фондов нотной литературы, когда нужно идентифицировать музыкальное произведение, представить несколько фрагментов или связать кодированное описание фрагмента с цифровым изображением.</w:t>
      </w:r>
    </w:p>
    <w:p>
      <w:pPr>
        <w:pStyle w:val="BodyText"/>
      </w:pPr>
      <w:r>
        <w:t xml:space="preserve">Кодированная запись инципита вводится в словарь. Для различения строчных и прописных букв в словарных терминах могут использоваться специальные суффиксы и разметка. Цифровое изображение нотного фрагмента может быть связано с полем</w:t>
      </w:r>
      <w:r>
        <w:t xml:space="preserve"> </w:t>
      </w:r>
      <w:r>
        <w:rPr>
          <w:rStyle w:val="VerbatimChar"/>
        </w:rPr>
        <w:t xml:space="preserve">36</w:t>
      </w:r>
      <w:r>
        <w:t xml:space="preserve"> </w:t>
      </w:r>
      <w:r>
        <w:t xml:space="preserve">через внутренний ресурс в поле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; внешние файлы включаются в просмотр в общем порядке.</w:t>
      </w:r>
    </w:p>
    <w:bookmarkEnd w:id="47"/>
    <w:bookmarkStart w:id="48" w:name="X76f2adf5a1d4f644c349e3d5cf4c8790d9fcaad"/>
    <w:p>
      <w:pPr>
        <w:pStyle w:val="Heading2"/>
      </w:pPr>
      <w:r>
        <w:t xml:space="preserve">40. Поле 509: заголовок картографической записи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509</w:t>
      </w:r>
      <w:r>
        <w:t xml:space="preserve"> </w:t>
      </w:r>
      <w:r>
        <w:t xml:space="preserve">предназначено для детального описания картографического материала. В нём указываются тип наименования, индикатор заголовка, географическое или тематическое наименование, структурное подразделение, уточняющие признаки, даты, географические термины, вид издания, масштаб и номер авторитетной записи.</w:t>
      </w:r>
    </w:p>
    <w:p>
      <w:pPr>
        <w:pStyle w:val="BodyText"/>
      </w:pPr>
      <w:r>
        <w:t xml:space="preserve">Краткое описание картографического материала вводится в поле</w:t>
      </w:r>
      <w:r>
        <w:t xml:space="preserve"> </w:t>
      </w:r>
      <w:r>
        <w:rPr>
          <w:rStyle w:val="VerbatimChar"/>
        </w:rPr>
        <w:t xml:space="preserve">123</w:t>
      </w:r>
      <w:r>
        <w:t xml:space="preserve">.</w:t>
      </w:r>
    </w:p>
    <w:bookmarkEnd w:id="48"/>
    <w:bookmarkStart w:id="49" w:name="поля-физических-характеристик"/>
    <w:p>
      <w:pPr>
        <w:pStyle w:val="Heading2"/>
      </w:pPr>
      <w:r>
        <w:t xml:space="preserve">41. Поля физических характеристик</w:t>
      </w:r>
    </w:p>
    <w:p>
      <w:pPr>
        <w:pStyle w:val="FirstParagraph"/>
      </w:pPr>
      <w:r>
        <w:t xml:space="preserve">Поля физических характеристик заполняются через вложенные рабочие листы и меню. Поля могут повторяться для основного документа и приложения; при заполнении нужно указывать, к чему относятся данные.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916</w:t>
      </w:r>
      <w:r>
        <w:t xml:space="preserve"> </w:t>
      </w:r>
      <w:r>
        <w:t xml:space="preserve">описывает кинофильм: продолжительность, скорость, цвет, звук, звуковой носитель, размер плёнки, форму проката, технику, формат представления, вид звука и полноту.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915</w:t>
      </w:r>
      <w:r>
        <w:t xml:space="preserve"> </w:t>
      </w:r>
      <w:r>
        <w:t xml:space="preserve">описывает визуально-проекционный материал: длину, цвет, ширину плёнки, форму проката, материалы эмульсии и вторичной основы.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115</w:t>
      </w:r>
      <w:r>
        <w:t xml:space="preserve"> </w:t>
      </w:r>
      <w:r>
        <w:t xml:space="preserve">описывает видеозапись: длину, цвет, звук, звуковой носитель, размер видеокассетной ленты, технику, форму проката, формат представления и стандарт трансляции.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123</w:t>
      </w:r>
      <w:r>
        <w:t xml:space="preserve"> </w:t>
      </w:r>
      <w:r>
        <w:t xml:space="preserve">описывает картографический материал: форму, цвет, наличие повествовательного текста, масштаб, указатель и примечание.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126</w:t>
      </w:r>
      <w:r>
        <w:t xml:space="preserve"> </w:t>
      </w:r>
      <w:r>
        <w:t xml:space="preserve">описывает звукозапись: вид носителя, длину, скорость, вид звука, размеры носителя, технику записи, сопроводительный текст, характеристику воспроизведения, языки звукового сопровождения и субтитров.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130</w:t>
      </w:r>
      <w:r>
        <w:t xml:space="preserve"> </w:t>
      </w:r>
      <w:r>
        <w:t xml:space="preserve">описывает микроформу: вид, полярность, размеры, масштаб и его особенности, цвет, эмульсию, основу плёнки и генерацию.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106</w:t>
      </w:r>
      <w:r>
        <w:t xml:space="preserve"> </w:t>
      </w:r>
      <w:r>
        <w:t xml:space="preserve">описывает нетрадиционный бумажный носитель, например Брайль или минипечать.</w:t>
      </w:r>
    </w:p>
    <w:bookmarkEnd w:id="49"/>
    <w:bookmarkStart w:id="50" w:name="страница-рл-экземпляры"/>
    <w:p>
      <w:pPr>
        <w:pStyle w:val="Heading2"/>
      </w:pPr>
      <w:r>
        <w:t xml:space="preserve">42. Страница РЛ</w:t>
      </w:r>
      <w:r>
        <w:t xml:space="preserve"> </w:t>
      </w:r>
      <w:r>
        <w:rPr>
          <w:rStyle w:val="VerbatimChar"/>
        </w:rPr>
        <w:t xml:space="preserve">Экземпляры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содержит сведения о конкретных экземплярах, группах экземпляров и фондовых операциях. Основное поле страницы -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50"/>
    <w:bookmarkStart w:id="51" w:name="поле-910-сведения-об-экземплярах"/>
    <w:p>
      <w:pPr>
        <w:pStyle w:val="Heading2"/>
      </w:pPr>
      <w:r>
        <w:t xml:space="preserve">43. Поле 910: сведения об экземплярах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повторяется. Каждое повторение описывает:</w:t>
      </w:r>
    </w:p>
    <w:p>
      <w:pPr>
        <w:pStyle w:val="Compact"/>
        <w:numPr>
          <w:ilvl w:val="0"/>
          <w:numId w:val="1011"/>
        </w:numPr>
      </w:pPr>
      <w:r>
        <w:t xml:space="preserve">один экземпляр издания, хранящийся в одном подразделении по системе индивидуального учёта или заказанный для него;</w:t>
      </w:r>
    </w:p>
    <w:p>
      <w:pPr>
        <w:pStyle w:val="Compact"/>
        <w:numPr>
          <w:ilvl w:val="0"/>
          <w:numId w:val="1011"/>
        </w:numPr>
      </w:pPr>
      <w:r>
        <w:t xml:space="preserve">группу экземпляров безынвентарного учёта, например учебников в вузовской библиотеке;</w:t>
      </w:r>
    </w:p>
    <w:p>
      <w:pPr>
        <w:pStyle w:val="Compact"/>
        <w:numPr>
          <w:ilvl w:val="0"/>
          <w:numId w:val="1011"/>
        </w:numPr>
      </w:pPr>
      <w:r>
        <w:t xml:space="preserve">группу экземпляров, направленных в библиотеку централизованной библиотечной системы.</w:t>
      </w:r>
    </w:p>
    <w:p>
      <w:pPr>
        <w:pStyle w:val="FirstParagraph"/>
      </w:pPr>
      <w:r>
        <w:t xml:space="preserve">В поле вводятся статус, инвентарный номер, дата поступления, место хранения, коллекция, расстановочный шифр, цена, штрих-код или радиометка, канал поступления, идентификатор партии, признак</w:t>
      </w:r>
      <w:r>
        <w:t xml:space="preserve"> </w:t>
      </w:r>
      <w:r>
        <w:rPr>
          <w:rStyle w:val="VerbatimChar"/>
        </w:rPr>
        <w:t xml:space="preserve">не на баланс</w:t>
      </w:r>
      <w:r>
        <w:t xml:space="preserve">, данные списания, данные проверки фонда и сведения для книгообеспеченности.</w:t>
      </w:r>
    </w:p>
    <w:bookmarkEnd w:id="51"/>
    <w:bookmarkStart w:id="52" w:name="статусы-экземпляров"/>
    <w:p>
      <w:pPr>
        <w:pStyle w:val="Heading2"/>
      </w:pPr>
      <w:r>
        <w:t xml:space="preserve">44. Статусы экземпляров</w:t>
      </w:r>
    </w:p>
    <w:p>
      <w:pPr>
        <w:pStyle w:val="FirstParagraph"/>
      </w:pPr>
      <w:r>
        <w:t xml:space="preserve">Статус вводится через меню и обязателен для заказанного или полученного экземпляра, кроме специального технологического случая со статусом</w:t>
      </w:r>
      <w:r>
        <w:t xml:space="preserve"> </w:t>
      </w:r>
      <w:r>
        <w:rPr>
          <w:rStyle w:val="VerbatimChar"/>
        </w:rPr>
        <w:t xml:space="preserve">R</w:t>
      </w:r>
      <w:r>
        <w:t xml:space="preserve">.</w:t>
      </w:r>
    </w:p>
    <w:p>
      <w:pPr>
        <w:pStyle w:val="BodyText"/>
      </w:pPr>
      <w:r>
        <w:t xml:space="preserve">Для индивидуального учёта используются обычные статусы экземпляра.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означает, что экземпляр получен, свободен и может быть выдан читателю. Статус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означает заказанный экземпляр, который ещё не поступил. Статусы</w:t>
      </w:r>
      <w:r>
        <w:t xml:space="preserve"> </w:t>
      </w:r>
      <w:r>
        <w:rPr>
          <w:rStyle w:val="VerbatimChar"/>
        </w:rPr>
        <w:t xml:space="preserve">3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6</w:t>
      </w:r>
      <w:r>
        <w:t xml:space="preserve">,</w:t>
      </w:r>
      <w:r>
        <w:t xml:space="preserve"> </w:t>
      </w:r>
      <w:r>
        <w:rPr>
          <w:rStyle w:val="VerbatimChar"/>
        </w:rPr>
        <w:t xml:space="preserve">8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описывают экземпляры, которые не могут быть выданы читателю, например находятся в переплёте, утеряны, списаны, не дошли до места хранения или находятся на бронеполке.</w:t>
      </w:r>
    </w:p>
    <w:p>
      <w:pPr>
        <w:pStyle w:val="BodyText"/>
      </w:pPr>
      <w:r>
        <w:t xml:space="preserve">Статусы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могут корректироваться системой в процессе книговыдачи.</w:t>
      </w:r>
    </w:p>
    <w:p>
      <w:pPr>
        <w:pStyle w:val="BodyText"/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используется для группы экземпляров отдельной библиотеки ЦБС. В центральном электронном каталоге такая группа отражается общим числом и не выдаётся читателю; в каталогах библиотек сети экземпляры могут быть представлены индивидуально.</w:t>
      </w:r>
    </w:p>
    <w:p>
      <w:pPr>
        <w:pStyle w:val="BodyText"/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используется для группы экземпляров безынвентарного учёта. В электронном каталоге они отражаются общим числом, а выдача выполняется при наличии свободных экземпляров без фиксации конкретного инвентарного номера.</w:t>
      </w:r>
    </w:p>
    <w:p>
      <w:pPr>
        <w:pStyle w:val="BodyText"/>
      </w:pPr>
      <w:r>
        <w:t xml:space="preserve">При централизованном комплектовании записи со статусом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могут передаваться в каталоги филиалов или библиотек сети. Затем глобальной корректировкой статус преобразуется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экземпляров данного филиала, а для остальных мест хранения остаётся</w:t>
      </w:r>
      <w:r>
        <w:t xml:space="preserve"> </w:t>
      </w:r>
      <w:r>
        <w:rPr>
          <w:rStyle w:val="VerbatimChar"/>
        </w:rPr>
        <w:t xml:space="preserve">C</w:t>
      </w:r>
      <w:r>
        <w:t xml:space="preserve">.</w:t>
      </w:r>
    </w:p>
    <w:bookmarkEnd w:id="52"/>
    <w:bookmarkStart w:id="53" w:name="статус-r-и-размножение-экземпляров"/>
    <w:p>
      <w:pPr>
        <w:pStyle w:val="Heading2"/>
      </w:pPr>
      <w:r>
        <w:t xml:space="preserve">45. Статус R и размножение экземпляров</w:t>
      </w:r>
    </w:p>
    <w:p>
      <w:pPr>
        <w:pStyle w:val="FirstParagraph"/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является временным технологическим статусом до сохранения документа. Он используется, когда нужно быстро ввести группу индивидуально учитываемых экземпляров, различающихся последовательными инвентарными номерами, штрих-кодами или местами хранения, но имеющих общие данные партии, канала поступления, цены и даты ввода.</w:t>
      </w:r>
    </w:p>
    <w:p>
      <w:pPr>
        <w:pStyle w:val="BodyText"/>
      </w:pPr>
      <w:r>
        <w:t xml:space="preserve">Число экземпляров и начальный инвентарный номер задаются в элементе</w:t>
      </w:r>
      <w:r>
        <w:t xml:space="preserve"> </w:t>
      </w:r>
      <w:r>
        <w:rPr>
          <w:rStyle w:val="VerbatimChar"/>
        </w:rPr>
        <w:t xml:space="preserve">Инвентарный номер</w:t>
      </w:r>
      <w:r>
        <w:t xml:space="preserve"> </w:t>
      </w:r>
      <w:r>
        <w:t xml:space="preserve">через разделитель</w:t>
      </w:r>
      <w:r>
        <w:t xml:space="preserve"> </w:t>
      </w:r>
      <w:r>
        <w:rPr>
          <w:rStyle w:val="VerbatimChar"/>
        </w:rPr>
        <w:t xml:space="preserve">/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5/12567</w:t>
      </w:r>
      <w:r>
        <w:t xml:space="preserve">. Начальный штрих-код вводится в соответствующем подполе.</w:t>
      </w:r>
    </w:p>
    <w:p>
      <w:pPr>
        <w:pStyle w:val="BodyText"/>
      </w:pPr>
      <w:r>
        <w:t xml:space="preserve">При сохранении документа поле со статусом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автоматически размножается:</w:t>
      </w:r>
    </w:p>
    <w:p>
      <w:pPr>
        <w:pStyle w:val="Compact"/>
        <w:numPr>
          <w:ilvl w:val="0"/>
          <w:numId w:val="1012"/>
        </w:numPr>
      </w:pPr>
      <w:r>
        <w:t xml:space="preserve">в новые повторения ставится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инвентарный номер и/или штрих-код увеличиваются на единицу в правом разряде;</w:t>
      </w:r>
    </w:p>
    <w:p>
      <w:pPr>
        <w:pStyle w:val="Compact"/>
        <w:numPr>
          <w:ilvl w:val="0"/>
          <w:numId w:val="1012"/>
        </w:numPr>
      </w:pPr>
      <w:r>
        <w:t xml:space="preserve">если задан и инвентарный номер, и штрих-код, размножаются оба значения;</w:t>
      </w:r>
    </w:p>
    <w:p>
      <w:pPr>
        <w:pStyle w:val="Compact"/>
        <w:numPr>
          <w:ilvl w:val="0"/>
          <w:numId w:val="1012"/>
        </w:numPr>
      </w:pPr>
      <w:r>
        <w:t xml:space="preserve">если задан только штрих-код, создаются только штрих-коды;</w:t>
      </w:r>
    </w:p>
    <w:p>
      <w:pPr>
        <w:pStyle w:val="Compact"/>
        <w:numPr>
          <w:ilvl w:val="0"/>
          <w:numId w:val="1012"/>
        </w:numPr>
      </w:pPr>
      <w:r>
        <w:t xml:space="preserve">если штрих-код не задан, создаются только инвентарные номера;</w:t>
      </w:r>
    </w:p>
    <w:p>
      <w:pPr>
        <w:pStyle w:val="Compact"/>
        <w:numPr>
          <w:ilvl w:val="0"/>
          <w:numId w:val="1012"/>
        </w:numPr>
      </w:pPr>
      <w:r>
        <w:t xml:space="preserve">если начальный номер не задан, нумерация начинается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остальные данные переносятся из исходного поля без изменения.</w:t>
      </w:r>
    </w:p>
    <w:p>
      <w:pPr>
        <w:pStyle w:val="FirstParagraph"/>
      </w:pPr>
      <w:r>
        <w:t xml:space="preserve">Можно использовать процесс</w:t>
      </w:r>
      <w:r>
        <w:t xml:space="preserve"> </w:t>
      </w:r>
      <w:r>
        <w:rPr>
          <w:rStyle w:val="VerbatimChar"/>
        </w:rPr>
        <w:t xml:space="preserve">Размножение экземпляров</w:t>
      </w:r>
      <w:r>
        <w:t xml:space="preserve"> </w:t>
      </w:r>
      <w:r>
        <w:t xml:space="preserve">для разных мест хранения. Сначала через справочник вводятся направления или места хранения, затем добавляется одно поле со статусом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и общими данными. При сохранении размноженные экземпляры объединяются с направлениями, а лишние направления остаются заказанными со статусом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Это единственный случай, когда до сохранения документа допускаются поля экземпляров без статуса: они должны состоять только из места хранения и использоваться вместе хотя бы с одним полем со статусом</w:t>
      </w:r>
      <w:r>
        <w:t xml:space="preserve"> </w:t>
      </w:r>
      <w:r>
        <w:rPr>
          <w:rStyle w:val="VerbatimChar"/>
        </w:rPr>
        <w:t xml:space="preserve">R</w:t>
      </w:r>
      <w:r>
        <w:t xml:space="preserve">.</w:t>
      </w:r>
    </w:p>
    <w:bookmarkEnd w:id="53"/>
    <w:bookmarkStart w:id="54" w:name="инвентарные-номера-и-штрих-коды"/>
    <w:p>
      <w:pPr>
        <w:pStyle w:val="Heading2"/>
      </w:pPr>
      <w:r>
        <w:t xml:space="preserve">46. Инвентарные номера и штрих-коды</w:t>
      </w:r>
    </w:p>
    <w:p>
      <w:pPr>
        <w:pStyle w:val="FirstParagraph"/>
      </w:pPr>
      <w:r>
        <w:t xml:space="preserve">Структура инвентарного номера определяется пользователем и системой не контролируется. Номер может содержать буквенную часть, постоянную цифровую часть, разделители или другую локальную структуру.</w:t>
      </w:r>
    </w:p>
    <w:p>
      <w:pPr>
        <w:pStyle w:val="BodyText"/>
      </w:pPr>
      <w:r>
        <w:t xml:space="preserve">Для автоматического ввода последовательных номеров система выделяет изменяемую цифровую часть справа налево. Если справа нет числовой части, начальный номер считается незаданным, и счёт начинается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; постоянная часть при этом сохраняется.</w:t>
      </w:r>
    </w:p>
    <w:p>
      <w:pPr>
        <w:pStyle w:val="BodyText"/>
      </w:pPr>
      <w:r>
        <w:t xml:space="preserve">Примеры размножения: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5/</w:t>
      </w:r>
      <w:r>
        <w:t xml:space="preserve"> </w:t>
      </w:r>
      <w:r>
        <w:t xml:space="preserve">даёт номера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, если штрих-код не введён;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3/123</w:t>
      </w:r>
      <w:r>
        <w:t xml:space="preserve"> </w:t>
      </w:r>
      <w:r>
        <w:t xml:space="preserve">даёт</w:t>
      </w:r>
      <w:r>
        <w:t xml:space="preserve"> </w:t>
      </w:r>
      <w:r>
        <w:rPr>
          <w:rStyle w:val="VerbatimChar"/>
        </w:rPr>
        <w:t xml:space="preserve">123</w:t>
      </w:r>
      <w:r>
        <w:t xml:space="preserve">,</w:t>
      </w:r>
      <w:r>
        <w:t xml:space="preserve"> </w:t>
      </w:r>
      <w:r>
        <w:rPr>
          <w:rStyle w:val="VerbatimChar"/>
        </w:rPr>
        <w:t xml:space="preserve">124</w:t>
      </w:r>
      <w:r>
        <w:t xml:space="preserve">,</w:t>
      </w:r>
      <w:r>
        <w:t xml:space="preserve"> </w:t>
      </w:r>
      <w:r>
        <w:rPr>
          <w:rStyle w:val="VerbatimChar"/>
        </w:rPr>
        <w:t xml:space="preserve">125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4/АБ156</w:t>
      </w:r>
      <w:r>
        <w:t xml:space="preserve"> </w:t>
      </w:r>
      <w:r>
        <w:t xml:space="preserve">даёт</w:t>
      </w:r>
      <w:r>
        <w:t xml:space="preserve"> </w:t>
      </w:r>
      <w:r>
        <w:rPr>
          <w:rStyle w:val="VerbatimChar"/>
        </w:rPr>
        <w:t xml:space="preserve">АБ156</w:t>
      </w:r>
      <w:r>
        <w:t xml:space="preserve">,</w:t>
      </w:r>
      <w:r>
        <w:t xml:space="preserve"> </w:t>
      </w:r>
      <w:r>
        <w:rPr>
          <w:rStyle w:val="VerbatimChar"/>
        </w:rPr>
        <w:t xml:space="preserve">АБ157</w:t>
      </w:r>
      <w:r>
        <w:t xml:space="preserve">,</w:t>
      </w:r>
      <w:r>
        <w:t xml:space="preserve"> </w:t>
      </w:r>
      <w:r>
        <w:rPr>
          <w:rStyle w:val="VerbatimChar"/>
        </w:rPr>
        <w:t xml:space="preserve">АБ158</w:t>
      </w:r>
      <w:r>
        <w:t xml:space="preserve">,</w:t>
      </w:r>
      <w:r>
        <w:t xml:space="preserve"> </w:t>
      </w:r>
      <w:r>
        <w:rPr>
          <w:rStyle w:val="VerbatimChar"/>
        </w:rPr>
        <w:t xml:space="preserve">АБ159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2/К19/12</w:t>
      </w:r>
      <w:r>
        <w:t xml:space="preserve"> </w:t>
      </w:r>
      <w:r>
        <w:t xml:space="preserve">даёт</w:t>
      </w:r>
      <w:r>
        <w:t xml:space="preserve"> </w:t>
      </w:r>
      <w:r>
        <w:rPr>
          <w:rStyle w:val="VerbatimChar"/>
        </w:rPr>
        <w:t xml:space="preserve">К19/12</w:t>
      </w:r>
      <w:r>
        <w:t xml:space="preserve">,</w:t>
      </w:r>
      <w:r>
        <w:t xml:space="preserve"> </w:t>
      </w:r>
      <w:r>
        <w:rPr>
          <w:rStyle w:val="VerbatimChar"/>
        </w:rPr>
        <w:t xml:space="preserve">К19/13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3/1789-</w:t>
      </w:r>
      <w:r>
        <w:t xml:space="preserve"> </w:t>
      </w:r>
      <w:r>
        <w:t xml:space="preserve">даёт</w:t>
      </w:r>
      <w:r>
        <w:t xml:space="preserve"> </w:t>
      </w:r>
      <w:r>
        <w:rPr>
          <w:rStyle w:val="VerbatimChar"/>
        </w:rPr>
        <w:t xml:space="preserve">1789-1</w:t>
      </w:r>
      <w:r>
        <w:t xml:space="preserve">,</w:t>
      </w:r>
      <w:r>
        <w:t xml:space="preserve"> </w:t>
      </w:r>
      <w:r>
        <w:rPr>
          <w:rStyle w:val="VerbatimChar"/>
        </w:rPr>
        <w:t xml:space="preserve">1789-2</w:t>
      </w:r>
      <w:r>
        <w:t xml:space="preserve">,</w:t>
      </w:r>
      <w:r>
        <w:t xml:space="preserve"> </w:t>
      </w:r>
      <w:r>
        <w:rPr>
          <w:rStyle w:val="VerbatimChar"/>
        </w:rPr>
        <w:t xml:space="preserve">1789-3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3/1789-4</w:t>
      </w:r>
      <w:r>
        <w:t xml:space="preserve"> </w:t>
      </w:r>
      <w:r>
        <w:t xml:space="preserve">даёт</w:t>
      </w:r>
      <w:r>
        <w:t xml:space="preserve"> </w:t>
      </w:r>
      <w:r>
        <w:rPr>
          <w:rStyle w:val="VerbatimChar"/>
        </w:rPr>
        <w:t xml:space="preserve">1789-4</w:t>
      </w:r>
      <w:r>
        <w:t xml:space="preserve">,</w:t>
      </w:r>
      <w:r>
        <w:t xml:space="preserve"> </w:t>
      </w:r>
      <w:r>
        <w:rPr>
          <w:rStyle w:val="VerbatimChar"/>
        </w:rPr>
        <w:t xml:space="preserve">1789-5</w:t>
      </w:r>
      <w:r>
        <w:t xml:space="preserve">,</w:t>
      </w:r>
      <w:r>
        <w:t xml:space="preserve"> </w:t>
      </w:r>
      <w:r>
        <w:rPr>
          <w:rStyle w:val="VerbatimChar"/>
        </w:rPr>
        <w:t xml:space="preserve">1789-6</w:t>
      </w:r>
      <w:r>
        <w:t xml:space="preserve">.</w:t>
      </w:r>
    </w:p>
    <w:p>
      <w:pPr>
        <w:pStyle w:val="FirstParagraph"/>
      </w:pPr>
      <w:r>
        <w:t xml:space="preserve">При сохранении документа для экземпляров индивидуального учёта контролируется наличие инвентарного номера или штрих-кода. Оба значения включаются в общий словарь и используются как идентификатор экземпляра в книговыдаче. Дублетный штрих-код не пропускается, а дублетный инвентарный номер даёт диагностический контроль; уровень контроля задаётся в настройке.</w:t>
      </w:r>
    </w:p>
    <w:p>
      <w:pPr>
        <w:pStyle w:val="BodyText"/>
      </w:pPr>
      <w:r>
        <w:t xml:space="preserve">Инвентарный номер можно вводить через словарь</w:t>
      </w:r>
      <w:r>
        <w:t xml:space="preserve"> </w:t>
      </w:r>
      <w:r>
        <w:rPr>
          <w:rStyle w:val="VerbatimChar"/>
        </w:rPr>
        <w:t xml:space="preserve">Инвентарные номера, сортированные</w:t>
      </w:r>
      <w:r>
        <w:t xml:space="preserve">, где длина цифровой части выровнена до восьми цифр ведущими пробелами. Это помогает определить последний введённый номер при работе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t xml:space="preserve">Штрих-коды при сохранении документа могут сортироваться по возрастанию, если это задано в настройке на странице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.</w:t>
      </w:r>
    </w:p>
    <w:bookmarkEnd w:id="54"/>
    <w:bookmarkStart w:id="55" w:name="Xfa38f1c8bfbd7487ff431a677ba6e1a0ae59a9b"/>
    <w:p>
      <w:pPr>
        <w:pStyle w:val="Heading2"/>
      </w:pPr>
      <w:r>
        <w:t xml:space="preserve">47. Дата поступления, место хранения и канал поступления</w:t>
      </w:r>
    </w:p>
    <w:p>
      <w:pPr>
        <w:pStyle w:val="FirstParagraph"/>
      </w:pPr>
      <w:r>
        <w:t xml:space="preserve">Экземпляр считается зарегистрированным, если заполнена дата поступления. Дата обязательна, потому что при пересчёте цен, списании и проверке фонда изменение цены выполняется относительно даты поступления.</w:t>
      </w:r>
    </w:p>
    <w:p>
      <w:pPr>
        <w:pStyle w:val="BodyText"/>
      </w:pPr>
      <w:r>
        <w:t xml:space="preserve">Если точная дата для ретрофонда неизвестна, рекомендуется указать приблизительную дату, например исходя из года выхода книги. Если дата не введена явно, при сохранении документа система берёт дату из настройки, а если она не задана - текущую дату.</w:t>
      </w:r>
    </w:p>
    <w:p>
      <w:pPr>
        <w:pStyle w:val="BodyText"/>
      </w:pPr>
      <w:r>
        <w:t xml:space="preserve">Место хранения вводится через справочник-меню и отражает подразделение, для которого экземпляр получен или заказан. При выводе сведений об экземплярах экземпляры внутреннего пользования могут исключаться из показа по справочнику</w:t>
      </w:r>
      <w:r>
        <w:t xml:space="preserve"> </w:t>
      </w:r>
      <w:r>
        <w:rPr>
          <w:rStyle w:val="VerbatimChar"/>
        </w:rPr>
        <w:t xml:space="preserve">MHRVN.MNU</w:t>
      </w:r>
      <w:r>
        <w:t xml:space="preserve">.</w:t>
      </w:r>
    </w:p>
    <w:p>
      <w:pPr>
        <w:pStyle w:val="BodyText"/>
      </w:pPr>
      <w:r>
        <w:t xml:space="preserve">Канал поступления вводится через справочник</w:t>
      </w:r>
      <w:r>
        <w:t xml:space="preserve"> </w:t>
      </w:r>
      <w:r>
        <w:rPr>
          <w:rStyle w:val="VerbatimChar"/>
        </w:rPr>
        <w:t xml:space="preserve">KP.MNU</w:t>
      </w:r>
      <w:r>
        <w:t xml:space="preserve">. Если коды каналов поступления отличаются от кодов организаций-посредников заказа в базе комплектования, при передаче книг в электронный каталог выполняется автоматическая замена по справочнику соответствия</w:t>
      </w:r>
      <w:r>
        <w:t xml:space="preserve"> </w:t>
      </w:r>
      <w:r>
        <w:rPr>
          <w:rStyle w:val="VerbatimChar"/>
        </w:rPr>
        <w:t xml:space="preserve">KPORG.MNU</w:t>
      </w:r>
      <w:r>
        <w:t xml:space="preserve">.</w:t>
      </w:r>
    </w:p>
    <w:p>
      <w:pPr>
        <w:pStyle w:val="BodyText"/>
      </w:pPr>
      <w:r>
        <w:t xml:space="preserve">Цена вводится для тех экземпляров, цена которых отличается от общей цены в области кодированной информации. Расстановочный шифр указывается для мест хранения, где он имеет собственный систематический индекс.</w:t>
      </w:r>
    </w:p>
    <w:p>
      <w:pPr>
        <w:pStyle w:val="BodyText"/>
      </w:pPr>
      <w:r>
        <w:t xml:space="preserve">Идентификатор партии книг, включая номер записи КСУ и номер акта индивидуального учёта, может вводиться автоматически при сохранении документа из настройки, заданной перед началом работы с партией.</w:t>
      </w:r>
    </w:p>
    <w:bookmarkEnd w:id="55"/>
    <w:bookmarkStart w:id="56" w:name="X63109bdfe93560ab183e0bbe5dfccde8d0a9ff2"/>
    <w:p>
      <w:pPr>
        <w:pStyle w:val="Heading2"/>
      </w:pPr>
      <w:r>
        <w:t xml:space="preserve">48. Книгообеспеченность, проверка фонда и списание</w:t>
      </w:r>
    </w:p>
    <w:p>
      <w:pPr>
        <w:pStyle w:val="FirstParagraph"/>
      </w:pPr>
      <w:r>
        <w:t xml:space="preserve">Данные по книгообеспеченности вводятся в базах вузов. Специальное назначение фонда определяет экземпляры для выделенной категории студентов, а коэффициент многоразового использования показывает, сколько раз экземпляры используются в течение семестра.</w:t>
      </w:r>
    </w:p>
    <w:p>
      <w:pPr>
        <w:pStyle w:val="BodyText"/>
      </w:pPr>
      <w:r>
        <w:t xml:space="preserve">Данные проверки фонда вводятся автоматически при выполнении режима проверки в АРМах</w:t>
      </w:r>
      <w:r>
        <w:t xml:space="preserve"> </w:t>
      </w:r>
      <w:r>
        <w:rPr>
          <w:rStyle w:val="VerbatimChar"/>
        </w:rPr>
        <w:t xml:space="preserve">Комплектатор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: дата проверки, пересчитанная цена и дата ввода при полной проверке, число проверенных экземпляров безынвентарного учёта и реальное место нахождения книги.</w:t>
      </w:r>
    </w:p>
    <w:p>
      <w:pPr>
        <w:pStyle w:val="BodyText"/>
      </w:pPr>
      <w:r>
        <w:t xml:space="preserve">Данные списания вводятся автоматически при работе в АРМе</w:t>
      </w:r>
      <w:r>
        <w:t xml:space="preserve"> </w:t>
      </w:r>
      <w:r>
        <w:rPr>
          <w:rStyle w:val="VerbatimChar"/>
        </w:rPr>
        <w:t xml:space="preserve">Комплектатор</w:t>
      </w:r>
      <w:r>
        <w:t xml:space="preserve"> </w:t>
      </w:r>
      <w:r>
        <w:t xml:space="preserve">в задаче</w:t>
      </w:r>
      <w:r>
        <w:t xml:space="preserve"> </w:t>
      </w:r>
      <w:r>
        <w:rPr>
          <w:rStyle w:val="VerbatimChar"/>
        </w:rPr>
        <w:t xml:space="preserve">Выбытие</w:t>
      </w:r>
      <w:r>
        <w:t xml:space="preserve">.</w:t>
      </w:r>
    </w:p>
    <w:bookmarkEnd w:id="56"/>
    <w:bookmarkStart w:id="57" w:name="страница-рл-технология"/>
    <w:p>
      <w:pPr>
        <w:pStyle w:val="Heading2"/>
      </w:pPr>
      <w:r>
        <w:t xml:space="preserve">49. Страница РЛ</w:t>
      </w:r>
      <w:r>
        <w:t xml:space="preserve"> </w:t>
      </w:r>
      <w:r>
        <w:rPr>
          <w:rStyle w:val="VerbatimChar"/>
        </w:rPr>
        <w:t xml:space="preserve">Технология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содержит настройки вывода и технологические поля записи: тиражи каталожных карточек, этапы обработки, внешние ссылки, внутренние ресурсы, держателя документа, архивные сведения проверки фонда и списания.</w:t>
      </w:r>
    </w:p>
    <w:bookmarkEnd w:id="57"/>
    <w:bookmarkStart w:id="58" w:name="Xb54235870ded1be922b0396024096fefabb6ed3"/>
    <w:p>
      <w:pPr>
        <w:pStyle w:val="Heading2"/>
      </w:pPr>
      <w:r>
        <w:t xml:space="preserve">50. Поле 905: настройки вывода и технологических режимов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905</w:t>
      </w:r>
      <w:r>
        <w:t xml:space="preserve"> </w:t>
      </w:r>
      <w:r>
        <w:t xml:space="preserve">позволяет указать тираж основной и добавочных каталожных карточек для пакетной печати. Тираж задаётся двумя числами через</w:t>
      </w:r>
      <w:r>
        <w:t xml:space="preserve"> </w:t>
      </w:r>
      <w:r>
        <w:rPr>
          <w:rStyle w:val="VerbatimChar"/>
        </w:rPr>
        <w:t xml:space="preserve">/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6/2</w:t>
      </w:r>
      <w:r>
        <w:t xml:space="preserve">. Также тираж может рассчитываться автоматически по настройкам, заданным через кнопку</w:t>
      </w:r>
      <w:r>
        <w:t xml:space="preserve"> </w:t>
      </w:r>
      <w:r>
        <w:rPr>
          <w:rStyle w:val="VerbatimChar"/>
        </w:rPr>
        <w:t xml:space="preserve">Настройка</w:t>
      </w:r>
      <w:r>
        <w:t xml:space="preserve">.</w:t>
      </w:r>
    </w:p>
    <w:p>
      <w:pPr>
        <w:pStyle w:val="BodyText"/>
      </w:pPr>
      <w:r>
        <w:t xml:space="preserve">В это же поле могут вводиться дополнительные заголовки добавочных карточек, не связанные напрямую с элементами библиографического описания, например</w:t>
      </w:r>
      <w:r>
        <w:t xml:space="preserve"> </w:t>
      </w:r>
      <w:r>
        <w:rPr>
          <w:rStyle w:val="VerbatimChar"/>
        </w:rPr>
        <w:t xml:space="preserve">раритет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специальный фонд</w:t>
      </w:r>
      <w:r>
        <w:t xml:space="preserve">.</w:t>
      </w:r>
    </w:p>
    <w:p>
      <w:pPr>
        <w:pStyle w:val="BodyText"/>
      </w:pPr>
      <w:r>
        <w:t xml:space="preserve">Управляющие коды поля</w:t>
      </w:r>
      <w:r>
        <w:t xml:space="preserve"> </w:t>
      </w:r>
      <w:r>
        <w:rPr>
          <w:rStyle w:val="VerbatimChar"/>
        </w:rPr>
        <w:t xml:space="preserve">905</w:t>
      </w:r>
      <w:r>
        <w:t xml:space="preserve"> </w:t>
      </w:r>
      <w:r>
        <w:t xml:space="preserve">задают форму представления данных в каталожных карточках, форматах просмотра и табличных формах. Среди них:</w:t>
      </w:r>
    </w:p>
    <w:p>
      <w:pPr>
        <w:pStyle w:val="Compact"/>
        <w:numPr>
          <w:ilvl w:val="0"/>
          <w:numId w:val="1014"/>
        </w:numPr>
      </w:pPr>
      <w:r>
        <w:t xml:space="preserve">вывод или отмена вывода цены;</w:t>
      </w:r>
    </w:p>
    <w:p>
      <w:pPr>
        <w:pStyle w:val="Compact"/>
        <w:numPr>
          <w:ilvl w:val="0"/>
          <w:numId w:val="1014"/>
        </w:numPr>
      </w:pPr>
      <w:r>
        <w:t xml:space="preserve">порядок вывода инвентарных номеров и сведений об экземплярах;</w:t>
      </w:r>
    </w:p>
    <w:p>
      <w:pPr>
        <w:pStyle w:val="Compact"/>
        <w:numPr>
          <w:ilvl w:val="0"/>
          <w:numId w:val="1014"/>
        </w:numPr>
      </w:pPr>
      <w:r>
        <w:t xml:space="preserve">вывод ключевых слов и аннотации;</w:t>
      </w:r>
    </w:p>
    <w:p>
      <w:pPr>
        <w:pStyle w:val="Compact"/>
        <w:numPr>
          <w:ilvl w:val="0"/>
          <w:numId w:val="1014"/>
        </w:numPr>
      </w:pPr>
      <w:r>
        <w:t xml:space="preserve">вывод индексов УДК, ББК, ГРНТИ и другой классификации;</w:t>
      </w:r>
    </w:p>
    <w:p>
      <w:pPr>
        <w:pStyle w:val="Compact"/>
        <w:numPr>
          <w:ilvl w:val="0"/>
          <w:numId w:val="1014"/>
        </w:numPr>
      </w:pPr>
      <w:r>
        <w:t xml:space="preserve">порядок вывода оглавления;</w:t>
      </w:r>
    </w:p>
    <w:p>
      <w:pPr>
        <w:pStyle w:val="Compact"/>
        <w:numPr>
          <w:ilvl w:val="0"/>
          <w:numId w:val="1014"/>
        </w:numPr>
      </w:pPr>
      <w:r>
        <w:t xml:space="preserve">вывод общих примечаний в общем блоке примечаний;</w:t>
      </w:r>
    </w:p>
    <w:p>
      <w:pPr>
        <w:pStyle w:val="Compact"/>
        <w:numPr>
          <w:ilvl w:val="0"/>
          <w:numId w:val="1014"/>
        </w:numPr>
      </w:pPr>
      <w:r>
        <w:t xml:space="preserve">вывод серии статьи;</w:t>
      </w:r>
    </w:p>
    <w:p>
      <w:pPr>
        <w:pStyle w:val="Compact"/>
        <w:numPr>
          <w:ilvl w:val="0"/>
          <w:numId w:val="1014"/>
        </w:numPr>
      </w:pPr>
      <w:r>
        <w:t xml:space="preserve">вывод константы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вывод сведений к заглавию на формуляре;</w:t>
      </w:r>
    </w:p>
    <w:p>
      <w:pPr>
        <w:pStyle w:val="Compact"/>
        <w:numPr>
          <w:ilvl w:val="0"/>
          <w:numId w:val="1014"/>
        </w:numPr>
      </w:pPr>
      <w:r>
        <w:t xml:space="preserve">сокращённый вывод данных на добавочной карточке;</w:t>
      </w:r>
    </w:p>
    <w:p>
      <w:pPr>
        <w:pStyle w:val="Compact"/>
        <w:numPr>
          <w:ilvl w:val="0"/>
          <w:numId w:val="1014"/>
        </w:numPr>
      </w:pPr>
      <w:r>
        <w:t xml:space="preserve">вывод или отмена предметных и географических рубрик на карточке;</w:t>
      </w:r>
    </w:p>
    <w:p>
      <w:pPr>
        <w:pStyle w:val="Compact"/>
        <w:numPr>
          <w:ilvl w:val="0"/>
          <w:numId w:val="1014"/>
        </w:numPr>
      </w:pPr>
      <w:r>
        <w:t xml:space="preserve">печать формуляров и карточек для топографического каталога по номеру КСУ.</w:t>
      </w:r>
    </w:p>
    <w:p>
      <w:pPr>
        <w:pStyle w:val="FirstParagraph"/>
      </w:pPr>
      <w:r>
        <w:t xml:space="preserve">Поле также содержит коды, управляющие технологическими режимами:</w:t>
      </w:r>
    </w:p>
    <w:p>
      <w:pPr>
        <w:pStyle w:val="Compact"/>
        <w:numPr>
          <w:ilvl w:val="0"/>
          <w:numId w:val="1015"/>
        </w:numPr>
      </w:pPr>
      <w:r>
        <w:t xml:space="preserve">отмена проверки на дублетность для отдельного документа;</w:t>
      </w:r>
    </w:p>
    <w:p>
      <w:pPr>
        <w:pStyle w:val="Compact"/>
        <w:numPr>
          <w:ilvl w:val="0"/>
          <w:numId w:val="1015"/>
        </w:numPr>
      </w:pPr>
      <w:r>
        <w:t xml:space="preserve">отмена проверки на дублетность аналитической записи, полученной копированием из записи источника;</w:t>
      </w:r>
    </w:p>
    <w:p>
      <w:pPr>
        <w:pStyle w:val="Compact"/>
        <w:numPr>
          <w:ilvl w:val="0"/>
          <w:numId w:val="1015"/>
        </w:numPr>
      </w:pPr>
      <w:r>
        <w:t xml:space="preserve">порядок проверки инвентарных номеров и штрих-кодов;</w:t>
      </w:r>
    </w:p>
    <w:p>
      <w:pPr>
        <w:pStyle w:val="Compact"/>
        <w:numPr>
          <w:ilvl w:val="0"/>
          <w:numId w:val="1015"/>
        </w:numPr>
      </w:pPr>
      <w:r>
        <w:t xml:space="preserve">отмена автоматического формирования сведений об ответственности;</w:t>
      </w:r>
    </w:p>
    <w:p>
      <w:pPr>
        <w:pStyle w:val="Compact"/>
        <w:numPr>
          <w:ilvl w:val="0"/>
          <w:numId w:val="1015"/>
        </w:numPr>
      </w:pPr>
      <w:r>
        <w:t xml:space="preserve">отмена автоматического формирования сведений к заглавию или преобразования их первого символа в строчную букву;</w:t>
      </w:r>
    </w:p>
    <w:p>
      <w:pPr>
        <w:pStyle w:val="Compact"/>
        <w:numPr>
          <w:ilvl w:val="0"/>
          <w:numId w:val="1015"/>
        </w:numPr>
      </w:pPr>
      <w:r>
        <w:t xml:space="preserve">сортировка штрих-кодов при сохранении документа.</w:t>
      </w:r>
    </w:p>
    <w:bookmarkEnd w:id="58"/>
    <w:bookmarkStart w:id="59" w:name="поле-907-каталогизатор-и-дата-обработки"/>
    <w:p>
      <w:pPr>
        <w:pStyle w:val="Heading2"/>
      </w:pPr>
      <w:r>
        <w:t xml:space="preserve">51. Поле 907: каталогизатор и дата обработки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фиксирует этап работы, дату и ФИО исполнителя. Эти данные используются для учёта работы каталогизаторов и контроля качества обработки.</w:t>
      </w:r>
    </w:p>
    <w:p>
      <w:pPr>
        <w:pStyle w:val="BodyText"/>
      </w:pPr>
      <w:r>
        <w:t xml:space="preserve">Если поле не введено, при сохранении документа система может добавить текущую дату, этап работы и ФИО из настроек. Если запись изменялась несколько раз в течение одного дня, поле добавляется при изменении одного из его составляющих, чтобы было видно, кто и когда корректировал запись.</w:t>
      </w:r>
    </w:p>
    <w:p>
      <w:pPr>
        <w:pStyle w:val="BodyText"/>
      </w:pPr>
      <w:r>
        <w:t xml:space="preserve">Первое значение поля включается в словарь</w:t>
      </w:r>
      <w:r>
        <w:t xml:space="preserve"> </w:t>
      </w:r>
      <w:r>
        <w:rPr>
          <w:rStyle w:val="VerbatimChar"/>
        </w:rPr>
        <w:t xml:space="preserve">Дата ввода</w:t>
      </w:r>
      <w:r>
        <w:t xml:space="preserve">. При необходимости можно включить словарь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в который будут попадать сочетания даты и ФИО для всех этапов работы.</w:t>
      </w:r>
    </w:p>
    <w:p>
      <w:pPr>
        <w:pStyle w:val="BodyText"/>
      </w:pPr>
      <w:r>
        <w:t xml:space="preserve">При переносе записи из базы комплектования в электронный каталог в запись может вводиться этап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 </w:t>
      </w:r>
      <w:r>
        <w:t xml:space="preserve">- обработка не завершена. Пока этот код не удалён, читателю выводится сообщение, что книга не выдаётся. Признак можно удалить вручную или автоматически, установив этап завершения обработки и сохранив документ либо выполнив соответствующую глобальную корректировку.</w:t>
      </w:r>
    </w:p>
    <w:bookmarkEnd w:id="59"/>
    <w:bookmarkStart w:id="60" w:name="поле-951-ссылка-на-внешний-объект"/>
    <w:p>
      <w:pPr>
        <w:pStyle w:val="Heading2"/>
      </w:pPr>
      <w:r>
        <w:t xml:space="preserve">52. Поле 951: ссылка на внешний объект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содержит сведения о внешних объектах, связанных с библиографическим описанием: файлах или интернет-ресурсах. В форматах показа они отображаются как ссылки. Поле повторяется, если с документом связано несколько объектов.</w:t>
      </w:r>
    </w:p>
    <w:p>
      <w:pPr>
        <w:pStyle w:val="BodyText"/>
      </w:pPr>
      <w:r>
        <w:t xml:space="preserve">Для каждой ссылки можно указать поясняющий текст, который будет выводиться на HTML-странице. Имя файла и URL являются альтернативными элементами: в одном повторении должно быть заполнено одно из них.</w:t>
      </w:r>
    </w:p>
    <w:p>
      <w:pPr>
        <w:pStyle w:val="BodyText"/>
      </w:pPr>
      <w:r>
        <w:t xml:space="preserve">Имя файла используется, когда объект находится в каталоге базы данных или внутри него. В этом случае указывается имя файла либо относительный путь от каталога базы. URL используется для абсолютных адресов в интернете или полных сетевых путей.</w:t>
      </w:r>
    </w:p>
    <w:bookmarkEnd w:id="60"/>
    <w:bookmarkStart w:id="61" w:name="поле-953-внутренний-двоичный-ресурс"/>
    <w:p>
      <w:pPr>
        <w:pStyle w:val="Heading2"/>
      </w:pPr>
      <w:r>
        <w:t xml:space="preserve">53. Поле 953: внутренний двоичный ресурс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хранит внутри записи двоичные ресурсы и предназначено для небольших объектов, которые должны оставаться частью документа при копировании, импорте или экспорте. Для полного текста книги предпочтительнее использовать внешний объект.</w:t>
      </w:r>
    </w:p>
    <w:p>
      <w:pPr>
        <w:pStyle w:val="BodyText"/>
      </w:pPr>
      <w:r>
        <w:t xml:space="preserve">Поле повторяется; каждое повторение содержит один ресурс. Внутренний ресурс может быть графикой, видео, звуком или другим файлом. В форматах показа такие ресурсы доступны прежде всего в HTML-выводе.</w:t>
      </w:r>
    </w:p>
    <w:p>
      <w:pPr>
        <w:pStyle w:val="BodyText"/>
      </w:pPr>
      <w:r>
        <w:t xml:space="preserve">Тип внутреннего ресурса соответствует расширению файла и вводится автоматически. Название ресурса заполняется свободно. Характер ресурса определяет способ показа: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Контекстный</w:t>
      </w:r>
      <w:r>
        <w:t xml:space="preserve"> </w:t>
      </w:r>
      <w:r>
        <w:t xml:space="preserve">ресурс показывается внутри данных другого поля. Для этого в нужном месте поля указывается номер повторения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в двойных квадратных скобках, например</w:t>
      </w:r>
      <w:r>
        <w:t xml:space="preserve"> </w:t>
      </w:r>
      <w:r>
        <w:rPr>
          <w:rStyle w:val="VerbatimChar"/>
        </w:rPr>
        <w:t xml:space="preserve">[[2]]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Внеконтекстный</w:t>
      </w:r>
      <w:r>
        <w:t xml:space="preserve"> </w:t>
      </w:r>
      <w:r>
        <w:t xml:space="preserve">ресурс показывается независимо от данных других полей, а место вывода определяется форматом.</w:t>
      </w:r>
    </w:p>
    <w:p>
      <w:pPr>
        <w:pStyle w:val="FirstParagraph"/>
      </w:pPr>
      <w:r>
        <w:t xml:space="preserve">Собственно ресурс вводится из внешнего файла и хранится в записи в специальном текстовом кодировании.</w:t>
      </w:r>
    </w:p>
    <w:bookmarkEnd w:id="61"/>
    <w:bookmarkStart w:id="62" w:name="поле-902-держатель-документа"/>
    <w:p>
      <w:pPr>
        <w:pStyle w:val="Heading2"/>
      </w:pPr>
      <w:r>
        <w:t xml:space="preserve">54. Поле 902: держатель документа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содержит наименование организации, почтовый адрес и адреса телекоммуникаций. Оно используется для данных участников сводного каталога, повторяется по числу организаций, включается в словарь и выводится в форматах просмотра.</w:t>
      </w:r>
    </w:p>
    <w:bookmarkEnd w:id="62"/>
    <w:bookmarkStart w:id="63" w:name="Xa3c396af00e86ba43e5e68ff4f4ca05364fd330"/>
    <w:p>
      <w:pPr>
        <w:pStyle w:val="Heading2"/>
      </w:pPr>
      <w:r>
        <w:t xml:space="preserve">55. Поля 941, 940 и 999: архивные и служебные сведения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941</w:t>
      </w:r>
      <w:r>
        <w:t xml:space="preserve"> </w:t>
      </w:r>
      <w:r>
        <w:t xml:space="preserve">содержит архивные сведения о данных экземпляра до проверки фонда. Оно формируется автоматически при полной проверке фонда. Структура аналогична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но цена присутствует обязательно: вводится индивидуальная цена экземпляра или общая цена из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без пересчёта.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940</w:t>
      </w:r>
      <w:r>
        <w:t xml:space="preserve"> </w:t>
      </w:r>
      <w:r>
        <w:t xml:space="preserve">содержит архивные сведения о данных экземпляра до списания. Оно формируется автоматически при списании, имеет структуру, близкую к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включает данные выбытия.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999</w:t>
      </w:r>
      <w:r>
        <w:t xml:space="preserve"> </w:t>
      </w:r>
      <w:r>
        <w:t xml:space="preserve">формируется автоматически при фиксации выдачи экземпляра 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и содержит количество выдач.</w:t>
      </w:r>
    </w:p>
    <w:bookmarkEnd w:id="63"/>
    <w:bookmarkStart w:id="64" w:name="страница-рл-систематизация"/>
    <w:p>
      <w:pPr>
        <w:pStyle w:val="Heading2"/>
      </w:pPr>
      <w:r>
        <w:t xml:space="preserve">56. Страница РЛ</w:t>
      </w:r>
      <w:r>
        <w:t xml:space="preserve"> </w:t>
      </w:r>
      <w:r>
        <w:rPr>
          <w:rStyle w:val="VerbatimChar"/>
        </w:rPr>
        <w:t xml:space="preserve">Систематизация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Систематизация</w:t>
      </w:r>
      <w:r>
        <w:t xml:space="preserve"> </w:t>
      </w:r>
      <w:r>
        <w:t xml:space="preserve">содержит сведения о содержании документа: классификационные индексы, систематический шифр, авторский знак, шифр документа в базе, рубрики, дескрипторы и ключевые слова.</w:t>
      </w:r>
    </w:p>
    <w:bookmarkEnd w:id="64"/>
    <w:bookmarkStart w:id="65" w:name="поле-675-индексы-удк"/>
    <w:p>
      <w:pPr>
        <w:pStyle w:val="Heading2"/>
      </w:pPr>
      <w:r>
        <w:t xml:space="preserve">57. Поле 675: индексы УДК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675</w:t>
      </w:r>
      <w:r>
        <w:t xml:space="preserve"> </w:t>
      </w:r>
      <w:r>
        <w:t xml:space="preserve">содержит индекс УДК, издание, текст, ввод через АПУ к УДК и ввод через базу УДК. Индексы УДК вводятся как повторяющееся поле и в таком виде выводятся в поисковый словарь. Поиск возможен по полному индексу или по индексу, усечённому справа.</w:t>
      </w:r>
    </w:p>
    <w:p>
      <w:pPr>
        <w:pStyle w:val="BodyText"/>
      </w:pPr>
      <w:r>
        <w:t xml:space="preserve">Алфавитно-предметный указатель к УДК можно использовать как авторитетный файл. Через него за одно обращение к словарю можно перенести несколько индексов в повторяющиеся поля.</w:t>
      </w:r>
    </w:p>
    <w:p>
      <w:pPr>
        <w:pStyle w:val="BodyText"/>
      </w:pPr>
      <w:r>
        <w:t xml:space="preserve">Элемент</w:t>
      </w:r>
      <w:r>
        <w:t xml:space="preserve"> </w:t>
      </w:r>
      <w:r>
        <w:rPr>
          <w:rStyle w:val="VerbatimChar"/>
        </w:rPr>
        <w:t xml:space="preserve">Издание</w:t>
      </w:r>
      <w:r>
        <w:t xml:space="preserve"> </w:t>
      </w:r>
      <w:r>
        <w:t xml:space="preserve">содержит номер издания УДК, из которого взят индекс. Элемент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используется, когда нужно пополнить авторитетную базу АПУ к УДК новым составным индексом; после сохранения или глобальной корректировки текст переносится в авторитетную базу, а в записи электронного каталога очищается.</w:t>
      </w:r>
    </w:p>
    <w:p>
      <w:pPr>
        <w:pStyle w:val="BodyText"/>
      </w:pPr>
      <w:r>
        <w:t xml:space="preserve">Если шифр документа в БД не введён явно и автоматическое формирование авторского знака не запрещено, шифр может строиться из первого индекса УДК и авторского знака при отсутствии более приоритетных данных.</w:t>
      </w:r>
    </w:p>
    <w:bookmarkEnd w:id="65"/>
    <w:bookmarkStart w:id="66" w:name="поле-621-индексы-ббк"/>
    <w:p>
      <w:pPr>
        <w:pStyle w:val="Heading2"/>
      </w:pPr>
      <w:r>
        <w:t xml:space="preserve">58. Поле 621: индексы ББК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621</w:t>
      </w:r>
      <w:r>
        <w:t xml:space="preserve"> </w:t>
      </w:r>
      <w:r>
        <w:t xml:space="preserve">содержит индекс ББК, текст, ввод через АПУ к ББК, ввод через базу ББК и индексы ББК из авторитетного файла.</w:t>
      </w:r>
    </w:p>
    <w:p>
      <w:pPr>
        <w:pStyle w:val="BodyText"/>
      </w:pPr>
      <w:r>
        <w:t xml:space="preserve">ББК применяется как альтернатива УДК. Порядок представления индексов в поисковом словаре аналогичен УДК. При наличии АПУ к ББК он используется для ввода так же, как АПУ к УДК.</w:t>
      </w:r>
    </w:p>
    <w:p>
      <w:pPr>
        <w:pStyle w:val="BodyText"/>
      </w:pPr>
      <w:r>
        <w:t xml:space="preserve">Если используются авторитетные файлы предметных рубрик, где зафиксировано соответствие рубрик и индексов ББК, эти индексы вместе с рубрикой вводятся в каталогизируемый документ и при сохранении переносятся в поле ББК.</w:t>
      </w:r>
    </w:p>
    <w:p>
      <w:pPr>
        <w:pStyle w:val="BodyText"/>
      </w:pPr>
      <w:r>
        <w:t xml:space="preserve">Если шифр документа в БД не введён явно и автоматическое формирование авторского знака не запрещено, шифр может строиться из первого индекса ББК и авторского знака при отсутствии систематического шифра, другой классификации и УДК.</w:t>
      </w:r>
    </w:p>
    <w:bookmarkEnd w:id="66"/>
    <w:bookmarkStart w:id="67" w:name="поле-686-индексы-другой-классификации"/>
    <w:p>
      <w:pPr>
        <w:pStyle w:val="Heading2"/>
      </w:pPr>
      <w:r>
        <w:t xml:space="preserve">59. Поле 686: индексы другой классификации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686</w:t>
      </w:r>
      <w:r>
        <w:t xml:space="preserve"> </w:t>
      </w:r>
      <w:r>
        <w:t xml:space="preserve">используется для классификации, разработанной организацией-пользователем, или другой локальной классификационной системы. Индексы вводятся через пользовательское меню, выводятся в отдельный поисковый словарь и представляются в нём по тем же правилам, что УДК и ББК.</w:t>
      </w:r>
    </w:p>
    <w:p>
      <w:pPr>
        <w:pStyle w:val="BodyText"/>
      </w:pPr>
      <w:r>
        <w:t xml:space="preserve">Если шифр документа в БД не введён явно и автоматическое формирование авторского знака не запрещено, шифр может строиться из первого индекса другой классификации и авторского знака при отсутствии систематического шифра.</w:t>
      </w:r>
    </w:p>
    <w:bookmarkEnd w:id="67"/>
    <w:bookmarkStart w:id="68" w:name="поле-906-систематический-шифр"/>
    <w:p>
      <w:pPr>
        <w:pStyle w:val="Heading2"/>
      </w:pPr>
      <w:r>
        <w:t xml:space="preserve">60. Поле 906: систематический шифр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906</w:t>
      </w:r>
      <w:r>
        <w:t xml:space="preserve"> </w:t>
      </w:r>
      <w:r>
        <w:t xml:space="preserve">используется, когда расстановочный шифр строится из укороченного индекса УДК или ББК и авторского знака. Укороченный индекс, введённый в</w:t>
      </w:r>
      <w:r>
        <w:t xml:space="preserve"> </w:t>
      </w:r>
      <w:r>
        <w:rPr>
          <w:rStyle w:val="VerbatimChar"/>
        </w:rPr>
        <w:t xml:space="preserve">906</w:t>
      </w:r>
      <w:r>
        <w:t xml:space="preserve">, не нужно повторять в полях УДК или ББК.</w:t>
      </w:r>
    </w:p>
    <w:p>
      <w:pPr>
        <w:pStyle w:val="BodyText"/>
      </w:pPr>
      <w:r>
        <w:t xml:space="preserve">Поле также используется, когда систематический шифр является вторым, дополнительным шифром, например при основной форматно-порядковой расстановке. Если шифр документа в БД не введён явно, он может строиться из систематического шифра и авторского знака.</w:t>
      </w:r>
    </w:p>
    <w:bookmarkEnd w:id="68"/>
    <w:bookmarkStart w:id="69" w:name="поле-908-авторский-знак"/>
    <w:p>
      <w:pPr>
        <w:pStyle w:val="Heading2"/>
      </w:pPr>
      <w:r>
        <w:t xml:space="preserve">61. Поле 908: авторский знак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908</w:t>
      </w:r>
      <w:r>
        <w:t xml:space="preserve"> </w:t>
      </w:r>
      <w:r>
        <w:t xml:space="preserve">содержит авторский знак и может вводиться через справочник</w:t>
      </w:r>
      <w:r>
        <w:t xml:space="preserve"> </w:t>
      </w:r>
      <w:r>
        <w:rPr>
          <w:rStyle w:val="VerbatimChar"/>
        </w:rPr>
        <w:t xml:space="preserve">HAV.MNU</w:t>
      </w:r>
      <w:r>
        <w:t xml:space="preserve"> </w:t>
      </w:r>
      <w:r>
        <w:t xml:space="preserve">с таблицами Хавкиной. Система не контролирует значение авторского знака.</w:t>
      </w:r>
    </w:p>
    <w:p>
      <w:pPr>
        <w:pStyle w:val="BodyText"/>
      </w:pPr>
      <w:r>
        <w:t xml:space="preserve">Если шифр документа в БД отсутствует, а в записи есть УДК, ББК, индекс другой классификации или систематический шифр, при сохранении документа авторский знак может формироваться автоматически одновременно с шифром.</w:t>
      </w:r>
    </w:p>
    <w:p>
      <w:pPr>
        <w:pStyle w:val="BodyText"/>
      </w:pPr>
      <w:r>
        <w:t xml:space="preserve">Если библиотека не применяет авторский знак при формировании расстановочных шифров, автоматическое формирование можно отключить в параметре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ORG.MNU</w:t>
      </w:r>
      <w:r>
        <w:t xml:space="preserve">.</w:t>
      </w:r>
    </w:p>
    <w:p>
      <w:pPr>
        <w:pStyle w:val="BodyText"/>
      </w:pPr>
      <w:r>
        <w:t xml:space="preserve">Авторский знак формируется по первому слову заголовка описания: автору, коллективному автору, заглавию, общей части многотомника, унифицированному заголовку формы или издателю юридического документа. Для отдельных случаев, например числительных в начале заглавия или биографических изданий, требуется корректная разметка заглавия. Часть правил не может быть выполнена автоматически и требует ручной корректировки авторского знака и шифра.</w:t>
      </w:r>
    </w:p>
    <w:bookmarkEnd w:id="69"/>
    <w:bookmarkStart w:id="70" w:name="поле-903-шифр-документа-в-бд"/>
    <w:p>
      <w:pPr>
        <w:pStyle w:val="Heading2"/>
      </w:pPr>
      <w:r>
        <w:t xml:space="preserve">62. Поле 903: шифр документа в БД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уникальный идентификатор документа в базе данных. Все экземпляры издания, записанные в одном документе, имеют один и тот же шифр.</w:t>
      </w:r>
    </w:p>
    <w:p>
      <w:pPr>
        <w:pStyle w:val="BodyText"/>
      </w:pPr>
      <w:r>
        <w:t xml:space="preserve">Возможны три основных подхода:</w:t>
      </w:r>
    </w:p>
    <w:p>
      <w:pPr>
        <w:pStyle w:val="Compact"/>
        <w:numPr>
          <w:ilvl w:val="0"/>
          <w:numId w:val="1017"/>
        </w:numPr>
      </w:pPr>
      <w:r>
        <w:t xml:space="preserve">библиотека сохраняет традиционную систему маркировки и переносит присвоенный шифр в запись;</w:t>
      </w:r>
    </w:p>
    <w:p>
      <w:pPr>
        <w:pStyle w:val="Compact"/>
        <w:numPr>
          <w:ilvl w:val="0"/>
          <w:numId w:val="1017"/>
        </w:numPr>
      </w:pPr>
      <w:r>
        <w:t xml:space="preserve">шифр строится на основе УДК, ББК, другой классификации или систематического шифра и авторского знака;</w:t>
      </w:r>
    </w:p>
    <w:p>
      <w:pPr>
        <w:pStyle w:val="Compact"/>
        <w:numPr>
          <w:ilvl w:val="0"/>
          <w:numId w:val="1017"/>
        </w:numPr>
      </w:pPr>
      <w:r>
        <w:t xml:space="preserve">библиотека не применяет содержательную систему шифровки, и шифр создаётся автоматически только как идентификатор записи.</w:t>
      </w:r>
    </w:p>
    <w:p>
      <w:pPr>
        <w:pStyle w:val="FirstParagraph"/>
      </w:pPr>
      <w:r>
        <w:t xml:space="preserve">Автоматически сформированный шифр дополняется случайным числом, чтобы обеспечить уникальность. Приоритет при формировании: систематический шифр, затем индекс другой классификации, затем УДК или ББК.</w:t>
      </w:r>
    </w:p>
    <w:p>
      <w:pPr>
        <w:pStyle w:val="BodyText"/>
      </w:pPr>
      <w:r>
        <w:t xml:space="preserve">Если каталогизатор меняет поля, участвующие в формировании шифра, нужно изменить и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либо удалить его, чтобы система сформировала шифр заново. Для журналов шифр имеет особое значение: шифр отдельного номера строится из шифра издания в целом и нумерационных выходных данных.</w:t>
      </w:r>
    </w:p>
    <w:p>
      <w:pPr>
        <w:pStyle w:val="BodyText"/>
      </w:pPr>
      <w:r>
        <w:t xml:space="preserve">Шифр проверяется на дублетность и включается в поисковый словарь.</w:t>
      </w:r>
    </w:p>
    <w:bookmarkEnd w:id="70"/>
    <w:bookmarkStart w:id="71" w:name="поле-964-индексы-рубрикатора-грнти"/>
    <w:p>
      <w:pPr>
        <w:pStyle w:val="Heading2"/>
      </w:pPr>
      <w:r>
        <w:t xml:space="preserve">63. Поле 964: индексы Рубрикатора ГРНТИ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964</w:t>
      </w:r>
      <w:r>
        <w:t xml:space="preserve"> </w:t>
      </w:r>
      <w:r>
        <w:t xml:space="preserve">содержит индексы Рубрикатора ГРНТИ. Использование ГРНТИ предполагается как средство тематического обмена между автоматизированными системами и контролируется диагностически. Контролируется также структура индекса: триады с двумя цифрами и точкой.</w:t>
      </w:r>
    </w:p>
    <w:p>
      <w:pPr>
        <w:pStyle w:val="BodyText"/>
      </w:pPr>
      <w:r>
        <w:t xml:space="preserve">В системе предусмотрены средства тематического поиска по Рубрикатору ГРНТИ, поэтому этот режим рассматривается как основной для тематического поиска.</w:t>
      </w:r>
    </w:p>
    <w:bookmarkEnd w:id="71"/>
    <w:bookmarkStart w:id="72" w:name="поле-60-раздел-знаний"/>
    <w:p>
      <w:pPr>
        <w:pStyle w:val="Heading2"/>
      </w:pPr>
      <w:r>
        <w:t xml:space="preserve">64. Поле 60: раздел знаний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используется для укрупнённого анализа партии полученных изданий. Справочник</w:t>
      </w:r>
      <w:r>
        <w:t xml:space="preserve"> </w:t>
      </w:r>
      <w:r>
        <w:rPr>
          <w:rStyle w:val="VerbatimChar"/>
        </w:rPr>
        <w:t xml:space="preserve">rzn.mnu</w:t>
      </w:r>
      <w:r>
        <w:t xml:space="preserve"> </w:t>
      </w:r>
      <w:r>
        <w:t xml:space="preserve">содержит номера разделов и их пояснения; наполнение разделов пользователь может корректировать самостоятельно.</w:t>
      </w:r>
    </w:p>
    <w:p>
      <w:pPr>
        <w:pStyle w:val="BodyText"/>
      </w:pPr>
      <w:r>
        <w:t xml:space="preserve">В АРМе</w:t>
      </w:r>
      <w:r>
        <w:t xml:space="preserve"> </w:t>
      </w:r>
      <w:r>
        <w:rPr>
          <w:rStyle w:val="VerbatimChar"/>
        </w:rPr>
        <w:t xml:space="preserve">Комплектатор</w:t>
      </w:r>
      <w:r>
        <w:t xml:space="preserve"> </w:t>
      </w:r>
      <w:r>
        <w:t xml:space="preserve">анализ партии документов ведётся по коду раздела.</w:t>
      </w:r>
    </w:p>
    <w:bookmarkEnd w:id="72"/>
    <w:bookmarkStart w:id="73" w:name="Xe2b48aa3962efc849ee4f1bdb62784f0f5c0725"/>
    <w:p>
      <w:pPr>
        <w:pStyle w:val="Heading2"/>
      </w:pPr>
      <w:r>
        <w:t xml:space="preserve">65. Поля 606 и 607: предметные и географические рубрики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606</w:t>
      </w:r>
      <w:r>
        <w:t xml:space="preserve"> </w:t>
      </w:r>
      <w:r>
        <w:t xml:space="preserve">содержит предметные рубрики, поле</w:t>
      </w:r>
      <w:r>
        <w:t xml:space="preserve"> </w:t>
      </w:r>
      <w:r>
        <w:rPr>
          <w:rStyle w:val="VerbatimChar"/>
        </w:rPr>
        <w:t xml:space="preserve">607</w:t>
      </w:r>
      <w:r>
        <w:t xml:space="preserve"> </w:t>
      </w:r>
      <w:r>
        <w:t xml:space="preserve">- географические рубрики. В них указываются код системы предметизации, ввод через авторитетный файл, заголовок, тематические, географические, хронологические и формальные подзаголовки, роль добавочной карточки и индексы ББК из авторитетного файла.</w:t>
      </w:r>
    </w:p>
    <w:p>
      <w:pPr>
        <w:pStyle w:val="BodyText"/>
      </w:pPr>
      <w:r>
        <w:t xml:space="preserve">Поля повторяются и предназначены для отражения содержания политематических документов. В поисковый словарь выводится полная рубрика, где подзаголовки разделяются строкой</w:t>
      </w:r>
      <w:r>
        <w:t xml:space="preserve"> </w:t>
      </w:r>
      <w:r>
        <w:rPr>
          <w:rStyle w:val="VerbatimChar"/>
        </w:rPr>
        <w:t xml:space="preserve">--</w:t>
      </w:r>
      <w:r>
        <w:t xml:space="preserve">, а также отдельные слова в словарь ключевых слов.</w:t>
      </w:r>
    </w:p>
    <w:p>
      <w:pPr>
        <w:pStyle w:val="BodyText"/>
      </w:pPr>
      <w:r>
        <w:t xml:space="preserve">При использовании авторитетного файла вместе с рубрикой могут переноситься индексы ББК, которые при сохранении документа вводятся в поля ББК.</w:t>
      </w:r>
    </w:p>
    <w:p>
      <w:pPr>
        <w:pStyle w:val="BodyText"/>
      </w:pPr>
      <w:r>
        <w:t xml:space="preserve">Тематические, географические и хронологические подзаголовки также выводятся в частные словари подзаголовков. Если у предметного подзаголовка есть собственные хронологические, географические или формальные подзаголовки, следует создавать отдельные последовательные повторения поля.</w:t>
      </w:r>
    </w:p>
    <w:p>
      <w:pPr>
        <w:pStyle w:val="BodyText"/>
      </w:pPr>
      <w:r>
        <w:t xml:space="preserve">Если при выборе из словаря предметных рубрик выбран термин, который относится к имени лица, коллективу или заглавию произведения, система может указать, что такие данные нужно вводить в поля</w:t>
      </w:r>
      <w:r>
        <w:t xml:space="preserve"> </w:t>
      </w:r>
      <w:r>
        <w:rPr>
          <w:rStyle w:val="VerbatimChar"/>
        </w:rPr>
        <w:t xml:space="preserve">600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bookmarkEnd w:id="73"/>
    <w:bookmarkStart w:id="74" w:name="поле-690-издательский-индекс"/>
    <w:p>
      <w:pPr>
        <w:pStyle w:val="Heading2"/>
      </w:pPr>
      <w:r>
        <w:t xml:space="preserve">66. Поле 690: издательский индекс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690</w:t>
      </w:r>
      <w:r>
        <w:t xml:space="preserve"> </w:t>
      </w:r>
      <w:r>
        <w:t xml:space="preserve">содержит издательский индекс и вводится через иерархический справочник. Индекс определяет раздел, в котором документ должен быть выведен в систематический указатель.</w:t>
      </w:r>
    </w:p>
    <w:bookmarkEnd w:id="74"/>
    <w:bookmarkStart w:id="75" w:name="поле-965-дескрипторы"/>
    <w:p>
      <w:pPr>
        <w:pStyle w:val="Heading2"/>
      </w:pPr>
      <w:r>
        <w:t xml:space="preserve">67. Поле 965: дескрипторы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965</w:t>
      </w:r>
      <w:r>
        <w:t xml:space="preserve"> </w:t>
      </w:r>
      <w:r>
        <w:t xml:space="preserve">заполняется по тезаурусу, который пользователь разрабатывает самостоятельно. В дистрибутиве готовый тезаурус отсутствует.</w:t>
      </w:r>
    </w:p>
    <w:bookmarkEnd w:id="75"/>
    <w:bookmarkStart w:id="76" w:name="поле-610-ненормированные-ключевые-слова"/>
    <w:p>
      <w:pPr>
        <w:pStyle w:val="Heading2"/>
      </w:pPr>
      <w:r>
        <w:t xml:space="preserve">68. Поле 610: ненормированные ключевые слова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610</w:t>
      </w:r>
      <w:r>
        <w:t xml:space="preserve"> </w:t>
      </w:r>
      <w:r>
        <w:t xml:space="preserve">повторяется и заполняется в свободной форме без контроля системой. В него имеет смысл вводить только те слова, которые не встречаются в библиографических полях.</w:t>
      </w:r>
    </w:p>
    <w:p>
      <w:pPr>
        <w:pStyle w:val="BodyText"/>
      </w:pPr>
      <w:r>
        <w:t xml:space="preserve">В словаре ключевых слов формируются:</w:t>
      </w:r>
    </w:p>
    <w:p>
      <w:pPr>
        <w:pStyle w:val="Compact"/>
        <w:numPr>
          <w:ilvl w:val="0"/>
          <w:numId w:val="1018"/>
        </w:numPr>
      </w:pPr>
      <w:r>
        <w:t xml:space="preserve">поле целиком, если в нём есть пробел;</w:t>
      </w:r>
    </w:p>
    <w:p>
      <w:pPr>
        <w:pStyle w:val="Compact"/>
        <w:numPr>
          <w:ilvl w:val="0"/>
          <w:numId w:val="1018"/>
        </w:numPr>
      </w:pPr>
      <w:r>
        <w:t xml:space="preserve">отдельные слова;</w:t>
      </w:r>
    </w:p>
    <w:p>
      <w:pPr>
        <w:pStyle w:val="Compact"/>
        <w:numPr>
          <w:ilvl w:val="0"/>
          <w:numId w:val="1018"/>
        </w:numPr>
      </w:pPr>
      <w:r>
        <w:t xml:space="preserve">слова и словосочетания в угловых скобках, например марки изделий с цифрами.</w:t>
      </w:r>
    </w:p>
    <w:p>
      <w:pPr>
        <w:pStyle w:val="FirstParagraph"/>
      </w:pPr>
      <w:r>
        <w:t xml:space="preserve">Ключевые слова можно вводить из словаря в режиме мультиввода в повторяющиеся поля или добавлять отдельные слова в одно повторение. Введённые из словаря ключевые слова записываются прописными буквами, а их вывод в форматах управляется настройками.</w:t>
      </w:r>
    </w:p>
    <w:bookmarkEnd w:id="76"/>
    <w:bookmarkStart w:id="77" w:name="X4180c183ea5a1026be2cbd2d7a4a1e4c0d926ed"/>
    <w:p>
      <w:pPr>
        <w:pStyle w:val="Heading2"/>
      </w:pPr>
      <w:r>
        <w:t xml:space="preserve">69. Поле 600: персоналия, имя лица и заглавие как предмет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600</w:t>
      </w:r>
      <w:r>
        <w:t xml:space="preserve"> </w:t>
      </w:r>
      <w:r>
        <w:t xml:space="preserve">содержит сведения о лице, заглавии произведения или сочетании имени лица и заглавия, которые рассматриваются в каталогизируемом документе. Эти данные могут выступать как персоналия или как предметная рубрика.</w:t>
      </w:r>
    </w:p>
    <w:p>
      <w:pPr>
        <w:pStyle w:val="BodyText"/>
      </w:pPr>
      <w:r>
        <w:t xml:space="preserve">В поле могут вводиться:</w:t>
      </w:r>
    </w:p>
    <w:p>
      <w:pPr>
        <w:pStyle w:val="Compact"/>
        <w:numPr>
          <w:ilvl w:val="0"/>
          <w:numId w:val="1019"/>
        </w:numPr>
      </w:pPr>
      <w:r>
        <w:t xml:space="preserve">вид данных;</w:t>
      </w:r>
    </w:p>
    <w:p>
      <w:pPr>
        <w:pStyle w:val="Compact"/>
        <w:numPr>
          <w:ilvl w:val="0"/>
          <w:numId w:val="1019"/>
        </w:numPr>
      </w:pPr>
      <w:r>
        <w:t xml:space="preserve">признак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, определяющий персоналию;</w:t>
      </w:r>
    </w:p>
    <w:p>
      <w:pPr>
        <w:pStyle w:val="Compact"/>
        <w:numPr>
          <w:ilvl w:val="0"/>
          <w:numId w:val="1019"/>
        </w:numPr>
      </w:pPr>
      <w:r>
        <w:t xml:space="preserve">имя лица с тем же набором данных, что в авторских полях;</w:t>
      </w:r>
    </w:p>
    <w:p>
      <w:pPr>
        <w:pStyle w:val="Compact"/>
        <w:numPr>
          <w:ilvl w:val="0"/>
          <w:numId w:val="1019"/>
        </w:numPr>
      </w:pPr>
      <w:r>
        <w:t xml:space="preserve">тематические, географические, хронологические и формальные подзаголовки;</w:t>
      </w:r>
    </w:p>
    <w:p>
      <w:pPr>
        <w:pStyle w:val="Compact"/>
        <w:numPr>
          <w:ilvl w:val="0"/>
          <w:numId w:val="1019"/>
        </w:numPr>
      </w:pPr>
      <w:r>
        <w:t xml:space="preserve">заглавие как предмет;</w:t>
      </w:r>
    </w:p>
    <w:p>
      <w:pPr>
        <w:pStyle w:val="Compact"/>
        <w:numPr>
          <w:ilvl w:val="0"/>
          <w:numId w:val="1019"/>
        </w:numPr>
      </w:pPr>
      <w:r>
        <w:t xml:space="preserve">сведения о музыкальном произведении;</w:t>
      </w:r>
    </w:p>
    <w:p>
      <w:pPr>
        <w:pStyle w:val="Compact"/>
        <w:numPr>
          <w:ilvl w:val="0"/>
          <w:numId w:val="1019"/>
        </w:numPr>
      </w:pPr>
      <w:r>
        <w:t xml:space="preserve">ссылка на документ в базе или имя другой базы.</w:t>
      </w:r>
    </w:p>
    <w:p>
      <w:pPr>
        <w:pStyle w:val="FirstParagraph"/>
      </w:pPr>
      <w:r>
        <w:t xml:space="preserve">Если элемент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заполнен, данные трактуются как персоналия: имя лица и/или заглавие включаются в словарь персоналий, а в выходных форматах выводятся в области дополнительных точек доступа. Если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не заполнен, имя лица включается в словарь авторов, а рубрика</w:t>
      </w:r>
      <w:r>
        <w:t xml:space="preserve"> </w:t>
      </w:r>
      <w:r>
        <w:rPr>
          <w:rStyle w:val="VerbatimChar"/>
        </w:rPr>
        <w:t xml:space="preserve">имя лица и/или заглавие</w:t>
      </w:r>
      <w:r>
        <w:t xml:space="preserve"> </w:t>
      </w:r>
      <w:r>
        <w:t xml:space="preserve">пополняет словарь предметных рубрик и выводится в области рубрик.</w:t>
      </w:r>
    </w:p>
    <w:p>
      <w:pPr>
        <w:pStyle w:val="BodyText"/>
      </w:pPr>
      <w:r>
        <w:t xml:space="preserve">Вид данных определяет, что именно вводится в поле: имя лица, родовое имя, заглавие или имя вместе с заглавием. Для сложных фамилий можно указать, допустимо ли инвертирование ФИО или сколько слов составляет фамилию.</w:t>
      </w:r>
    </w:p>
    <w:p>
      <w:pPr>
        <w:pStyle w:val="BodyText"/>
      </w:pPr>
      <w:r>
        <w:t xml:space="preserve">Заглавие как предмет может быть введено набором подполей или ссылкой на полную запись в базе. Если полной записи нет, можно сформировать встроенную запись с рабочим листом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: для этого в служебном поле</w:t>
      </w:r>
      <w:r>
        <w:t xml:space="preserve"> </w:t>
      </w:r>
      <w:r>
        <w:rPr>
          <w:rStyle w:val="VerbatimChar"/>
        </w:rPr>
        <w:t xml:space="preserve">932</w:t>
      </w:r>
      <w:r>
        <w:t xml:space="preserve"> </w:t>
      </w:r>
      <w:r>
        <w:t xml:space="preserve">указывается номер повторения поля</w:t>
      </w:r>
      <w:r>
        <w:t xml:space="preserve"> </w:t>
      </w:r>
      <w:r>
        <w:rPr>
          <w:rStyle w:val="VerbatimChar"/>
        </w:rPr>
        <w:t xml:space="preserve">600</w:t>
      </w:r>
      <w:r>
        <w:t xml:space="preserve">, по которому должна быть создана встроенная запись.</w:t>
      </w:r>
    </w:p>
    <w:bookmarkEnd w:id="77"/>
    <w:bookmarkStart w:id="78" w:name="Xa13d317ffb58e6d7b963b5c0269ac97c94e4f4b"/>
    <w:p>
      <w:pPr>
        <w:pStyle w:val="Heading2"/>
      </w:pPr>
      <w:r>
        <w:t xml:space="preserve">70. Поле 601: персоналия, коллектив и заглавие как предмет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601</w:t>
      </w:r>
      <w:r>
        <w:t xml:space="preserve"> </w:t>
      </w:r>
      <w:r>
        <w:t xml:space="preserve">содержит сведения о коллективе или о коллективе и заглавии произведения, рассматриваемых в документе. Как и</w:t>
      </w:r>
      <w:r>
        <w:t xml:space="preserve"> </w:t>
      </w:r>
      <w:r>
        <w:rPr>
          <w:rStyle w:val="VerbatimChar"/>
        </w:rPr>
        <w:t xml:space="preserve">600</w:t>
      </w:r>
      <w:r>
        <w:t xml:space="preserve">, поле может использоваться для персоналий или для предметных рубрик.</w:t>
      </w:r>
    </w:p>
    <w:p>
      <w:pPr>
        <w:pStyle w:val="BodyText"/>
      </w:pPr>
      <w:r>
        <w:t xml:space="preserve">В поле вводятся данные постоянного или временного коллектива, подзаголовки предметной рубрики, заглавие как предмет, сведения о музыкальном произведении и ссылка на документ в базе.</w:t>
      </w:r>
    </w:p>
    <w:p>
      <w:pPr>
        <w:pStyle w:val="BodyText"/>
      </w:pPr>
      <w:r>
        <w:t xml:space="preserve">Если элемент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заполнен, коллектив и/или заглавие включаются в словарь персоналий и выводятся в области дополнительных точек доступа. Если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не заполнен, коллектив включается в словарь коллективов, а рубрика</w:t>
      </w:r>
      <w:r>
        <w:t xml:space="preserve"> </w:t>
      </w:r>
      <w:r>
        <w:rPr>
          <w:rStyle w:val="VerbatimChar"/>
        </w:rPr>
        <w:t xml:space="preserve">коллектив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коллектив и заглавие</w:t>
      </w:r>
      <w:r>
        <w:t xml:space="preserve"> </w:t>
      </w:r>
      <w:r>
        <w:t xml:space="preserve">пополняет словарь предметных рубрик и выводится в области рубрик.</w:t>
      </w:r>
    </w:p>
    <w:p>
      <w:pPr>
        <w:pStyle w:val="BodyText"/>
      </w:pPr>
      <w:r>
        <w:t xml:space="preserve">Заглавие как предмет в</w:t>
      </w:r>
      <w:r>
        <w:t xml:space="preserve"> </w:t>
      </w:r>
      <w:r>
        <w:rPr>
          <w:rStyle w:val="VerbatimChar"/>
        </w:rPr>
        <w:t xml:space="preserve">601</w:t>
      </w:r>
      <w:r>
        <w:t xml:space="preserve"> </w:t>
      </w:r>
      <w:r>
        <w:t xml:space="preserve">может быть введено только вместе с коллективом. При необходимости полного библиографического описания предметного документа может формироваться встроенная запись по той же технологии, что и для</w:t>
      </w:r>
      <w:r>
        <w:t xml:space="preserve"> </w:t>
      </w:r>
      <w:r>
        <w:rPr>
          <w:rStyle w:val="VerbatimChar"/>
        </w:rPr>
        <w:t xml:space="preserve">600</w:t>
      </w:r>
      <w:r>
        <w:t xml:space="preserve">, но в поле</w:t>
      </w:r>
      <w:r>
        <w:t xml:space="preserve"> </w:t>
      </w:r>
      <w:r>
        <w:rPr>
          <w:rStyle w:val="VerbatimChar"/>
        </w:rPr>
        <w:t xml:space="preserve">932</w:t>
      </w:r>
      <w:r>
        <w:t xml:space="preserve"> </w:t>
      </w:r>
      <w:r>
        <w:t xml:space="preserve">указывается номер повторения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bookmarkEnd w:id="78"/>
    <w:bookmarkStart w:id="79" w:name="поле-331-аннотация"/>
    <w:p>
      <w:pPr>
        <w:pStyle w:val="Heading2"/>
      </w:pPr>
      <w:r>
        <w:t xml:space="preserve">71. Поле 331: аннотация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331</w:t>
      </w:r>
      <w:r>
        <w:t xml:space="preserve"> </w:t>
      </w:r>
      <w:r>
        <w:t xml:space="preserve">содержит аннотацию. В формате просмотра она выводится безусловно, а на основных каталожных карточках - по правилам настройки и характера документа.</w:t>
      </w:r>
    </w:p>
    <w:p>
      <w:pPr>
        <w:pStyle w:val="BodyText"/>
      </w:pPr>
      <w:r>
        <w:t xml:space="preserve">Аннотация вводится через многострочное окно. Если в выходном документе аннотацию нужно представить абзацами, каждый абзац вводится как отдельное повторение поля. В словарь ключевых слов включаются специально размеченные слова и словосочетания, заключённые в угловые скобки.</w:t>
      </w:r>
    </w:p>
    <w:bookmarkEnd w:id="79"/>
    <w:bookmarkStart w:id="80" w:name="поле-619-разделённые-подрубрики"/>
    <w:p>
      <w:pPr>
        <w:pStyle w:val="Heading2"/>
      </w:pPr>
      <w:r>
        <w:t xml:space="preserve">72. Поле 619: разделённые подрубрики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619</w:t>
      </w:r>
      <w:r>
        <w:t xml:space="preserve"> </w:t>
      </w:r>
      <w:r>
        <w:t xml:space="preserve">формируется автоматически из полей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601</w:t>
      </w:r>
      <w:r>
        <w:t xml:space="preserve">, когда в последнем повторении тематического, географического или хронологического подзаголовка введено несколько значений, разделённых строкой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.</w:t>
      </w:r>
    </w:p>
    <w:p>
      <w:pPr>
        <w:pStyle w:val="BodyText"/>
      </w:pPr>
      <w:r>
        <w:t xml:space="preserve">При сохранении документа каждое значение переносится в отдельное повторение</w:t>
      </w:r>
      <w:r>
        <w:t xml:space="preserve"> </w:t>
      </w:r>
      <w:r>
        <w:rPr>
          <w:rStyle w:val="VerbatimChar"/>
        </w:rPr>
        <w:t xml:space="preserve">619</w:t>
      </w:r>
      <w:r>
        <w:t xml:space="preserve"> </w:t>
      </w:r>
      <w:r>
        <w:t xml:space="preserve">и оттуда включается в словарь соответствующего подзаголовка.</w:t>
      </w:r>
    </w:p>
    <w:bookmarkEnd w:id="80"/>
    <w:bookmarkStart w:id="81" w:name="Xb4f10c8d4ce9567538294ac6e65c28e67c662a3"/>
    <w:p>
      <w:pPr>
        <w:pStyle w:val="Heading2"/>
      </w:pPr>
      <w:r>
        <w:t xml:space="preserve">73. Поле 932: номер поля 600 или 601 для копирования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932</w:t>
      </w:r>
      <w:r>
        <w:t xml:space="preserve"> </w:t>
      </w:r>
      <w:r>
        <w:t xml:space="preserve">является служебным. В нём указывается номер повторения поля</w:t>
      </w:r>
      <w:r>
        <w:t xml:space="preserve"> </w:t>
      </w:r>
      <w:r>
        <w:rPr>
          <w:rStyle w:val="VerbatimChar"/>
        </w:rPr>
        <w:t xml:space="preserve">600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601</w:t>
      </w:r>
      <w:r>
        <w:t xml:space="preserve">, для которого копированием должна быть сформирована встроенная запись.</w:t>
      </w:r>
    </w:p>
    <w:bookmarkEnd w:id="81"/>
    <w:bookmarkStart w:id="82" w:name="поля-996-и-995-mesh"/>
    <w:p>
      <w:pPr>
        <w:pStyle w:val="Heading2"/>
      </w:pPr>
      <w:r>
        <w:t xml:space="preserve">74. Поля 996 и 995: MeSH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996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995</w:t>
      </w:r>
      <w:r>
        <w:t xml:space="preserve"> </w:t>
      </w:r>
      <w:r>
        <w:t xml:space="preserve">используются в базах медицинской информации для главных и неглавных рубрик MeSH. Они заполняются по медицинскому тезаурусу</w:t>
      </w:r>
      <w:r>
        <w:t xml:space="preserve"> </w:t>
      </w:r>
      <w:r>
        <w:rPr>
          <w:rStyle w:val="VerbatimChar"/>
        </w:rPr>
        <w:t xml:space="preserve">MeSH</w:t>
      </w:r>
      <w:r>
        <w:t xml:space="preserve">, который пользователь приобретает самостоятельно; в дистрибутиве он отсутствует.</w:t>
      </w:r>
    </w:p>
    <w:bookmarkEnd w:id="82"/>
    <w:bookmarkStart w:id="83" w:name="страница-рл-содержание"/>
    <w:p>
      <w:pPr>
        <w:pStyle w:val="Heading2"/>
      </w:pPr>
      <w:r>
        <w:t xml:space="preserve">75. Страница РЛ</w:t>
      </w:r>
      <w:r>
        <w:t xml:space="preserve"> </w:t>
      </w:r>
      <w:r>
        <w:rPr>
          <w:rStyle w:val="VerbatimChar"/>
        </w:rPr>
        <w:t xml:space="preserve">Содержание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используется для ввода содержания сборника или оглавления выпуска журнала.</w:t>
      </w:r>
    </w:p>
    <w:bookmarkEnd w:id="83"/>
    <w:bookmarkStart w:id="84" w:name="X2a7d17bbb6f390d573e2bb968933f41facb1d93"/>
    <w:p>
      <w:pPr>
        <w:pStyle w:val="Heading2"/>
      </w:pPr>
      <w:r>
        <w:t xml:space="preserve">76. Поля 330 и 922: содержание сборника и оглавление выпуска журнала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330</w:t>
      </w:r>
      <w:r>
        <w:t xml:space="preserve"> </w:t>
      </w:r>
      <w:r>
        <w:t xml:space="preserve">используется для содержания книжного сборника. Поле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используется для оглавления выпуска журнала.</w:t>
      </w:r>
    </w:p>
    <w:p>
      <w:pPr>
        <w:pStyle w:val="BodyText"/>
      </w:pPr>
      <w:r>
        <w:t xml:space="preserve">В этих полях представляются сведения об интересных или всех статьях сборника либо выпуска журнала в форме оглавления. Для каждой статьи могут вводиться авторы, другие авторы, заглавие, параллельное заглавие, сведения к заглавию, сведения об ответственности, страницы, иллюстрации, примечания о библиографии, ключевые слова и издательский индекс.</w:t>
      </w:r>
    </w:p>
    <w:p>
      <w:pPr>
        <w:pStyle w:val="BodyText"/>
      </w:pPr>
      <w:r>
        <w:t xml:space="preserve">Индивидуальные авторы вводятся по тем же правилам, что и в основных авторских полях: через словарь авторов, авторитетный файл или с клавиатуры. Для сложных фамилий можно указать, допустимо ли инвертирование ФИО или сколько слов составляет фамилию.</w:t>
      </w:r>
    </w:p>
    <w:p>
      <w:pPr>
        <w:pStyle w:val="BodyText"/>
      </w:pPr>
      <w:r>
        <w:t xml:space="preserve">Элемент</w:t>
      </w:r>
      <w:r>
        <w:t xml:space="preserve"> </w:t>
      </w:r>
      <w:r>
        <w:rPr>
          <w:rStyle w:val="VerbatimChar"/>
        </w:rPr>
        <w:t xml:space="preserve">Другие авторы</w:t>
      </w:r>
      <w:r>
        <w:t xml:space="preserve"> </w:t>
      </w:r>
      <w:r>
        <w:t xml:space="preserve">позволяет ввести четвёртого и последующих авторов в кумулированном виде. При сохранении документа каждый такой автор переносится в автоматически формируемые поля</w:t>
      </w:r>
      <w:r>
        <w:t xml:space="preserve"> </w:t>
      </w:r>
      <w:r>
        <w:rPr>
          <w:rStyle w:val="VerbatimChar"/>
        </w:rPr>
        <w:t xml:space="preserve">926</w:t>
      </w:r>
      <w:r>
        <w:t xml:space="preserve">, структура которых аналогична авторским полям.</w:t>
      </w:r>
    </w:p>
    <w:p>
      <w:pPr>
        <w:pStyle w:val="BodyText"/>
      </w:pPr>
      <w:r>
        <w:t xml:space="preserve">Если в оглавлении выделены разделы, можно использовать роль</w:t>
      </w:r>
      <w:r>
        <w:t xml:space="preserve"> </w:t>
      </w:r>
      <w:r>
        <w:rPr>
          <w:rStyle w:val="VerbatimChar"/>
        </w:rPr>
        <w:t xml:space="preserve">Номер раздела / относится к разделу</w:t>
      </w:r>
      <w:r>
        <w:t xml:space="preserve">. Заголовкам разделов присваиваются последовательные номера, а у статей указывается принадлежность к соответствующему разделу. Для статей внутри раздела можно дополнительно указать собственную нумерацию через</w:t>
      </w:r>
      <w:r>
        <w:t xml:space="preserve"> </w:t>
      </w:r>
      <w:r>
        <w:rPr>
          <w:rStyle w:val="VerbatimChar"/>
        </w:rPr>
        <w:t xml:space="preserve">/</w:t>
      </w:r>
      <w:r>
        <w:t xml:space="preserve">.</w:t>
      </w:r>
    </w:p>
    <w:p>
      <w:pPr>
        <w:pStyle w:val="BodyText"/>
      </w:pPr>
      <w:r>
        <w:t xml:space="preserve">Для краткого вывода повторяющихся данных применяются специальные разметки:</w:t>
      </w:r>
    </w:p>
    <w:p>
      <w:pPr>
        <w:pStyle w:val="Compact"/>
        <w:numPr>
          <w:ilvl w:val="0"/>
          <w:numId w:val="1020"/>
        </w:numPr>
      </w:pPr>
      <w:r>
        <w:t xml:space="preserve">автора, повторяющегося в нескольких статьях одного раздела, можно ввести в каждой статье, но скрыть при просмотре с помощью разметки вида</w:t>
      </w:r>
      <w:r>
        <w:t xml:space="preserve"> </w:t>
      </w:r>
      <w:r>
        <w:rPr>
          <w:rStyle w:val="VerbatimChar"/>
        </w:rPr>
        <w:t xml:space="preserve">&lt;Иванов А.А.=&gt;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повторяющуюся часть заглавия можно скрыть аналогично, выделив её как</w:t>
      </w:r>
      <w:r>
        <w:t xml:space="preserve"> </w:t>
      </w:r>
      <w:r>
        <w:rPr>
          <w:rStyle w:val="VerbatimChar"/>
        </w:rPr>
        <w:t xml:space="preserve">&lt;...=&gt;</w:t>
      </w:r>
      <w:r>
        <w:t xml:space="preserve">.</w:t>
      </w:r>
    </w:p>
    <w:p>
      <w:pPr>
        <w:pStyle w:val="FirstParagraph"/>
      </w:pPr>
      <w:r>
        <w:t xml:space="preserve">Такие данные не выводятся повторно при просмотре, но остаются в словарях и в аналитических описаниях.</w:t>
      </w:r>
    </w:p>
    <w:p>
      <w:pPr>
        <w:pStyle w:val="BodyText"/>
      </w:pPr>
      <w:r>
        <w:t xml:space="preserve">Сведения об ответственности могут вводиться через словарь в режиме мультиввода. Поскольку эти данные не являются поисковыми, лиц с вторичной ответственностью нужно дополнительно вводить в поле</w:t>
      </w:r>
      <w:r>
        <w:t xml:space="preserve"> </w:t>
      </w:r>
      <w:r>
        <w:rPr>
          <w:rStyle w:val="VerbatimChar"/>
        </w:rPr>
        <w:t xml:space="preserve">702</w:t>
      </w:r>
      <w:r>
        <w:t xml:space="preserve">. После сохранения автоматически сформированные сведения можно корректировать вручную.</w:t>
      </w:r>
    </w:p>
    <w:p>
      <w:pPr>
        <w:pStyle w:val="BodyText"/>
      </w:pPr>
      <w:r>
        <w:t xml:space="preserve">Сведения об иллюстрациях вводятся через меню. Для страниц обозначение единицы измерения не вводится: в выходных документах оно берётся из</w:t>
      </w:r>
      <w:r>
        <w:t xml:space="preserve"> </w:t>
      </w:r>
      <w:r>
        <w:rPr>
          <w:rStyle w:val="VerbatimChar"/>
        </w:rPr>
        <w:t xml:space="preserve">ORG.MNU</w:t>
      </w:r>
      <w:r>
        <w:t xml:space="preserve">. Издательский индекс определяет, что статья должна выводиться в систематический указатель в формате аналитического описания.</w:t>
      </w:r>
    </w:p>
    <w:p>
      <w:pPr>
        <w:pStyle w:val="BodyText"/>
      </w:pPr>
      <w:r>
        <w:t xml:space="preserve">Если содержание нужно выводить в кратком виде как примечание, это задаётся в настройке на странице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или через кнопку настройки.</w:t>
      </w:r>
    </w:p>
    <w:p>
      <w:pPr>
        <w:pStyle w:val="BodyText"/>
      </w:pPr>
      <w:r>
        <w:t xml:space="preserve">Авторы, заглавия и ключевые слова из содержания выводятся в соответствующие поисковые словари; отдельные слова из заглавий также включаются в словарь ключевых слов.</w:t>
      </w:r>
    </w:p>
    <w:p>
      <w:pPr>
        <w:pStyle w:val="BodyText"/>
      </w:pPr>
      <w:r>
        <w:t xml:space="preserve">Для сборников произведений одного автора или сборников разных авторов, где у каждого произведения не более одного автора, могут использоваться рабочие листы с укороченными страницами содержания. Если хотя бы в одном повторении</w:t>
      </w:r>
      <w:r>
        <w:t xml:space="preserve"> </w:t>
      </w:r>
      <w:r>
        <w:rPr>
          <w:rStyle w:val="VerbatimChar"/>
        </w:rPr>
        <w:t xml:space="preserve">330</w:t>
      </w:r>
      <w:r>
        <w:t xml:space="preserve"> </w:t>
      </w:r>
      <w:r>
        <w:t xml:space="preserve">введены полные данные, вызов поля на укороченной странице может привести к потере данных, отсутствующих в укороченном наборе.</w:t>
      </w:r>
    </w:p>
    <w:bookmarkEnd w:id="84"/>
    <w:bookmarkStart w:id="85" w:name="страница-рл-ко"/>
    <w:p>
      <w:pPr>
        <w:pStyle w:val="Heading2"/>
      </w:pPr>
      <w:r>
        <w:t xml:space="preserve">77. Страница РЛ</w:t>
      </w:r>
      <w:r>
        <w:t xml:space="preserve"> </w:t>
      </w:r>
      <w:r>
        <w:rPr>
          <w:rStyle w:val="VerbatimChar"/>
        </w:rPr>
        <w:t xml:space="preserve">КО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КО</w:t>
      </w:r>
      <w:r>
        <w:t xml:space="preserve"> </w:t>
      </w:r>
      <w:r>
        <w:t xml:space="preserve">содержит элементы данных по книгообеспеченности: назначение учебной литературы, потенциальные дисциплины, заявки, архивные и текущие коэффициенты книгообеспеченности, а также сведения об аналогах.</w:t>
      </w:r>
    </w:p>
    <w:bookmarkEnd w:id="85"/>
    <w:bookmarkStart w:id="86" w:name="поле-691-учебная-литература"/>
    <w:p>
      <w:pPr>
        <w:pStyle w:val="Heading2"/>
      </w:pPr>
      <w:r>
        <w:t xml:space="preserve">78. Поле 691: учебная литература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691</w:t>
      </w:r>
      <w:r>
        <w:t xml:space="preserve"> </w:t>
      </w:r>
      <w:r>
        <w:t xml:space="preserve">содержит расширенную информацию о назначении учебников и учебных пособий для вузов. В поле вводятся дисциплина, идентификатор дисциплины, факультет, филиал, выпускающая и читающая кафедры, учебное направление, специальность, цикл дисциплин, уровень компонента, вид и форма обучения, семестр, признак основной или дополнительной литературы, уникальный номер дисциплины и номер учебного плана.</w:t>
      </w:r>
    </w:p>
    <w:p>
      <w:pPr>
        <w:pStyle w:val="BodyText"/>
      </w:pPr>
      <w:r>
        <w:t xml:space="preserve">Данные вводятся через справочники-меню. Для упрощения ввода можно выбирать уже введённые данные из базы</w:t>
      </w:r>
      <w:r>
        <w:t xml:space="preserve"> </w:t>
      </w:r>
      <w:r>
        <w:rPr>
          <w:rStyle w:val="VerbatimChar"/>
        </w:rPr>
        <w:t xml:space="preserve">VUZ</w:t>
      </w:r>
      <w:r>
        <w:t xml:space="preserve">: через словарь дисциплины в поле переносятся связанные данные о кафедре, филиале, направлении, специальности, виде и форме обучения, семестре, а также идентификатор, уровень, цикл и уникальный номер дисциплины, если они есть в базе.</w:t>
      </w:r>
    </w:p>
    <w:p>
      <w:pPr>
        <w:pStyle w:val="BodyText"/>
      </w:pPr>
      <w:r>
        <w:t xml:space="preserve">В режиме мультиввода можно отметить несколько строк дисциплин и перенести их в повторяющиеся поля. После этого обычно нужно добавить только признак</w:t>
      </w:r>
      <w:r>
        <w:t xml:space="preserve"> </w:t>
      </w:r>
      <w:r>
        <w:rPr>
          <w:rStyle w:val="VerbatimChar"/>
        </w:rPr>
        <w:t xml:space="preserve">основная/дополнительная</w:t>
      </w:r>
      <w:r>
        <w:t xml:space="preserve">.</w:t>
      </w:r>
    </w:p>
    <w:p>
      <w:pPr>
        <w:pStyle w:val="BodyText"/>
      </w:pPr>
      <w:r>
        <w:t xml:space="preserve">Подполе</w:t>
      </w:r>
      <w:r>
        <w:t xml:space="preserve"> </w:t>
      </w:r>
      <w:r>
        <w:rPr>
          <w:rStyle w:val="VerbatimChar"/>
        </w:rPr>
        <w:t xml:space="preserve">Номер учебного плана</w:t>
      </w:r>
      <w:r>
        <w:t xml:space="preserve"> </w:t>
      </w:r>
      <w:r>
        <w:t xml:space="preserve">оставлено для преемственности со старыми версиями. В АРМе</w:t>
      </w:r>
      <w:r>
        <w:t xml:space="preserve"> </w:t>
      </w:r>
      <w:r>
        <w:rPr>
          <w:rStyle w:val="VerbatimChar"/>
        </w:rPr>
        <w:t xml:space="preserve">Книгообеспеченность</w:t>
      </w:r>
      <w:r>
        <w:t xml:space="preserve"> </w:t>
      </w:r>
      <w:r>
        <w:t xml:space="preserve">основной технологией является работа по уникальному номеру дисциплины.</w:t>
      </w:r>
    </w:p>
    <w:bookmarkEnd w:id="86"/>
    <w:bookmarkStart w:id="87" w:name="поле-61-потенциальная-дисциплина"/>
    <w:p>
      <w:pPr>
        <w:pStyle w:val="Heading2"/>
      </w:pPr>
      <w:r>
        <w:t xml:space="preserve">79. Поле 61: потенциальная дисциплина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61</w:t>
      </w:r>
      <w:r>
        <w:t xml:space="preserve"> </w:t>
      </w:r>
      <w:r>
        <w:t xml:space="preserve">позволяет заранее указать потенциальные дисциплины, для которых будет использоваться учебник, когда точных данных ещё нет. Позже по словарю потенциальных дисциплин можно найти соответствующий учебник.</w:t>
      </w:r>
    </w:p>
    <w:bookmarkEnd w:id="87"/>
    <w:bookmarkStart w:id="88" w:name="поле-694-заявка-на-учебную-литературу"/>
    <w:p>
      <w:pPr>
        <w:pStyle w:val="Heading2"/>
      </w:pPr>
      <w:r>
        <w:t xml:space="preserve">80. Поле 694: заявка на учебную литературу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предназначено для оперативного ввода и последующего отслеживания заявок на приобретение литературы, поступающих из учебного отдела вуза. Набор данных соответствует</w:t>
      </w:r>
      <w:r>
        <w:t xml:space="preserve"> </w:t>
      </w:r>
      <w:r>
        <w:rPr>
          <w:rStyle w:val="VerbatimChar"/>
        </w:rPr>
        <w:t xml:space="preserve">691</w:t>
      </w:r>
      <w:r>
        <w:t xml:space="preserve">, но первоначально может заполняться кратко: через идентификатор дисциплины, название и необходимые уточнения.</w:t>
      </w:r>
    </w:p>
    <w:p>
      <w:pPr>
        <w:pStyle w:val="BodyText"/>
      </w:pPr>
      <w:r>
        <w:t xml:space="preserve">После выполнения заявки может запускаться глобальная корректировка</w:t>
      </w:r>
      <w:r>
        <w:t xml:space="preserve"> </w:t>
      </w:r>
      <w:r>
        <w:rPr>
          <w:rStyle w:val="VerbatimChar"/>
        </w:rPr>
        <w:t xml:space="preserve">KO691Z</w:t>
      </w:r>
      <w:r>
        <w:t xml:space="preserve">, которая создаёт 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 </w:t>
      </w:r>
      <w:r>
        <w:t xml:space="preserve">на основе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 расширяет данные из базы</w:t>
      </w:r>
      <w:r>
        <w:t xml:space="preserve"> </w:t>
      </w:r>
      <w:r>
        <w:rPr>
          <w:rStyle w:val="VerbatimChar"/>
        </w:rPr>
        <w:t xml:space="preserve">VUZ</w:t>
      </w:r>
      <w:r>
        <w:t xml:space="preserve">.</w:t>
      </w:r>
    </w:p>
    <w:p>
      <w:pPr>
        <w:pStyle w:val="BodyText"/>
      </w:pPr>
      <w:r>
        <w:t xml:space="preserve">При построении</w:t>
      </w:r>
      <w:r>
        <w:t xml:space="preserve"> </w:t>
      </w:r>
      <w:r>
        <w:rPr>
          <w:rStyle w:val="VerbatimChar"/>
        </w:rPr>
        <w:t xml:space="preserve">691</w:t>
      </w:r>
      <w:r>
        <w:t xml:space="preserve"> </w:t>
      </w:r>
      <w:r>
        <w:t xml:space="preserve">учитываются заданные в заявке направление, специальность, вид и форма обучения, факультет, семестр и выпускающая кафедра. Если какой-либо элемент не указан, берутся все подходящие данные. В одном повторении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можно указать несколько семестров через</w:t>
      </w:r>
      <w:r>
        <w:t xml:space="preserve"> </w:t>
      </w:r>
      <w:r>
        <w:rPr>
          <w:rStyle w:val="VerbatimChar"/>
        </w:rPr>
        <w:t xml:space="preserve">/</w:t>
      </w:r>
      <w:r>
        <w:t xml:space="preserve">.</w:t>
      </w:r>
    </w:p>
    <w:bookmarkEnd w:id="88"/>
    <w:bookmarkStart w:id="89" w:name="поля-692-и-693-архивные-и-текущие-кко"/>
    <w:p>
      <w:pPr>
        <w:pStyle w:val="Heading2"/>
      </w:pPr>
      <w:r>
        <w:t xml:space="preserve">81. Поля 692 и 693: архивные и текущие ККО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692</w:t>
      </w:r>
      <w:r>
        <w:t xml:space="preserve"> </w:t>
      </w:r>
      <w:r>
        <w:t xml:space="preserve">содержит архивные данные книгообеспеченности для семестров: учебный год, полугодие, дату обработки, выделенную категорию, число экземпляров, число экземпляров с коэффициентом многоразового использования, число студентов и рассчитанные коэффициенты.</w:t>
      </w:r>
    </w:p>
    <w:p>
      <w:pPr>
        <w:pStyle w:val="BodyText"/>
      </w:pPr>
      <w:r>
        <w:t xml:space="preserve">Поле может отражать данные по выделенным категориям, дополнительно к выделенным категориям, общие данные без учёта выделенной категории и общие данные не для заочников.</w:t>
      </w:r>
    </w:p>
    <w:p>
      <w:pPr>
        <w:pStyle w:val="BodyText"/>
      </w:pPr>
      <w:r>
        <w:rPr>
          <w:rStyle w:val="VerbatimChar"/>
        </w:rPr>
        <w:t xml:space="preserve">692</w:t>
      </w:r>
      <w:r>
        <w:t xml:space="preserve"> </w:t>
      </w:r>
      <w:r>
        <w:t xml:space="preserve">заполняется в процессе работы АРМа</w:t>
      </w:r>
      <w:r>
        <w:t xml:space="preserve"> </w:t>
      </w:r>
      <w:r>
        <w:rPr>
          <w:rStyle w:val="VerbatimChar"/>
        </w:rPr>
        <w:t xml:space="preserve">Книгообеспеченность</w:t>
      </w:r>
      <w:r>
        <w:t xml:space="preserve"> </w:t>
      </w:r>
      <w:r>
        <w:t xml:space="preserve">или глобальной корректировкой в конце семестра. Данные используются в выходных форматах и итоговых таблицах при расчёте среднего годового коэффициента книгообеспеченности.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693</w:t>
      </w:r>
      <w:r>
        <w:t xml:space="preserve"> </w:t>
      </w:r>
      <w:r>
        <w:t xml:space="preserve">содержит текущие значения ККО для текущего семестра. По структуре оно соответствует архивному полю</w:t>
      </w:r>
      <w:r>
        <w:t xml:space="preserve"> </w:t>
      </w:r>
      <w:r>
        <w:rPr>
          <w:rStyle w:val="VerbatimChar"/>
        </w:rPr>
        <w:t xml:space="preserve">692</w:t>
      </w:r>
      <w:r>
        <w:t xml:space="preserve"> </w:t>
      </w:r>
      <w:r>
        <w:t xml:space="preserve">и заполняется в процессе работы АРМа</w:t>
      </w:r>
      <w:r>
        <w:t xml:space="preserve"> </w:t>
      </w:r>
      <w:r>
        <w:rPr>
          <w:rStyle w:val="VerbatimChar"/>
        </w:rPr>
        <w:t xml:space="preserve">Книгообеспеченность</w:t>
      </w:r>
      <w:r>
        <w:t xml:space="preserve">.</w:t>
      </w:r>
    </w:p>
    <w:bookmarkEnd w:id="89"/>
    <w:bookmarkStart w:id="90" w:name="поле-699-аналоги"/>
    <w:p>
      <w:pPr>
        <w:pStyle w:val="Heading2"/>
      </w:pPr>
      <w:r>
        <w:t xml:space="preserve">82. Поле 699: аналоги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699</w:t>
      </w:r>
      <w:r>
        <w:t xml:space="preserve"> </w:t>
      </w:r>
      <w:r>
        <w:t xml:space="preserve">фиксирует сведения об изданиях-аналогах: изданиях одного наименования разных лет или взаимозаменяемых учебниках, которые при расчёте коэффициента книгообеспеченности должны считаться одним наименованием.</w:t>
      </w:r>
    </w:p>
    <w:p>
      <w:pPr>
        <w:pStyle w:val="BodyText"/>
      </w:pPr>
      <w:r>
        <w:t xml:space="preserve">В поле указываются признак и шифр связанной записи. Признак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означает основную запись, к которой есть аналог; признак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означает запись-аналог к основной записи. Шифр связанной записи вводится через словарь заглавий.</w:t>
      </w:r>
    </w:p>
    <w:p>
      <w:pPr>
        <w:pStyle w:val="BodyText"/>
      </w:pPr>
      <w:r>
        <w:t xml:space="preserve">При расчёте коэффициента книгообеспеченности учитываются экземпляры всех связанных записей, а в число наименований включаются только основные записи.</w:t>
      </w:r>
    </w:p>
    <w:bookmarkEnd w:id="90"/>
    <w:bookmarkStart w:id="91" w:name="страница-рл-редкие"/>
    <w:p>
      <w:pPr>
        <w:pStyle w:val="Heading2"/>
      </w:pPr>
      <w:r>
        <w:t xml:space="preserve">83. Страница РЛ</w:t>
      </w:r>
      <w:r>
        <w:t xml:space="preserve"> </w:t>
      </w:r>
      <w:r>
        <w:rPr>
          <w:rStyle w:val="VerbatimChar"/>
        </w:rPr>
        <w:t xml:space="preserve">Редкие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Редкие</w:t>
      </w:r>
      <w:r>
        <w:t xml:space="preserve"> </w:t>
      </w:r>
      <w:r>
        <w:t xml:space="preserve">содержит специфические данные редких книг и особенности конкретных экземпляров: автографы, примечания о происхождении и сохранности, экслибрисы, пометки, кодированные характеристики и состояние предмета.</w:t>
      </w:r>
    </w:p>
    <w:bookmarkEnd w:id="91"/>
    <w:bookmarkStart w:id="92" w:name="поле-391-автографы"/>
    <w:p>
      <w:pPr>
        <w:pStyle w:val="Heading2"/>
      </w:pPr>
      <w:r>
        <w:t xml:space="preserve">84. Поле 391: автографы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391</w:t>
      </w:r>
      <w:r>
        <w:t xml:space="preserve"> </w:t>
      </w:r>
      <w:r>
        <w:t xml:space="preserve">содержит сведения о наличии автографов. Автограф вводится с тем же набором элементов, что и авторские данные: фамилия, инициалы, расширение инициалов, дополнительные данные имени, даты жизни, индикаторы формы записи, авторитетная запись и признак допустимости инверсии ФИО.</w:t>
      </w:r>
    </w:p>
    <w:p>
      <w:pPr>
        <w:pStyle w:val="BodyText"/>
      </w:pPr>
      <w:r>
        <w:t xml:space="preserve">Дополнительно вводятся текст автографа и инвентарный номер экземпляра. Поле повторяется по числу автографов, включается в поисковые словари авторов и автографов, а признак наличия автографа попадает в словарь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2"/>
    <w:bookmarkStart w:id="93" w:name="поле-316-особенности-экземпляра"/>
    <w:p>
      <w:pPr>
        <w:pStyle w:val="Heading2"/>
      </w:pPr>
      <w:r>
        <w:t xml:space="preserve">85. Поле 316: особенности экземпляра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316</w:t>
      </w:r>
      <w:r>
        <w:t xml:space="preserve"> </w:t>
      </w:r>
      <w:r>
        <w:t xml:space="preserve">содержит примечания об особенностях экземпляра. Примечание может вводиться свободно, через справочник или через служебный словарь. Для разных экземпляров поле повторяется.</w:t>
      </w:r>
    </w:p>
    <w:p>
      <w:pPr>
        <w:pStyle w:val="BodyText"/>
      </w:pPr>
      <w:r>
        <w:t xml:space="preserve">Если в подполях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введено несколько значений с разделителем</w:t>
      </w:r>
      <w:r>
        <w:t xml:space="preserve"> </w:t>
      </w:r>
      <w:r>
        <w:rPr>
          <w:rStyle w:val="VerbatimChar"/>
        </w:rPr>
        <w:t xml:space="preserve">;</w:t>
      </w:r>
      <w:r>
        <w:t xml:space="preserve">, при сохранении документа эти значения разделяются и записываются в поле</w:t>
      </w:r>
      <w:r>
        <w:t xml:space="preserve"> </w:t>
      </w:r>
      <w:r>
        <w:rPr>
          <w:rStyle w:val="VerbatimChar"/>
        </w:rPr>
        <w:t xml:space="preserve">929</w:t>
      </w:r>
      <w:r>
        <w:t xml:space="preserve">. Из</w:t>
      </w:r>
      <w:r>
        <w:t xml:space="preserve"> </w:t>
      </w:r>
      <w:r>
        <w:rPr>
          <w:rStyle w:val="VerbatimChar"/>
        </w:rPr>
        <w:t xml:space="preserve">929</w:t>
      </w:r>
      <w:r>
        <w:t xml:space="preserve"> </w:t>
      </w:r>
      <w:r>
        <w:t xml:space="preserve">они попадают в служебный словарь особенностей экземпляра. Если разделителя нет, в словарь вводится единственное значение.</w:t>
      </w:r>
    </w:p>
    <w:p>
      <w:pPr>
        <w:pStyle w:val="BodyText"/>
      </w:pPr>
      <w:r>
        <w:t xml:space="preserve">Признак наличия примечания об особенностях экземпляра вводится в словарь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3"/>
    <w:bookmarkStart w:id="94" w:name="поле-317-происхождение-экземпляра"/>
    <w:p>
      <w:pPr>
        <w:pStyle w:val="Heading2"/>
      </w:pPr>
      <w:r>
        <w:t xml:space="preserve">86. Поле 317: происхождение экземпляра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317</w:t>
      </w:r>
      <w:r>
        <w:t xml:space="preserve"> </w:t>
      </w:r>
      <w:r>
        <w:t xml:space="preserve">содержит примечание о происхождении экземпляра: сведения о штемпелях, владельческих записях, экслибрисах и других признаках происхождения. Примечание вводится в свободной форме; поле повторяется для разных экземпляров.</w:t>
      </w:r>
    </w:p>
    <w:p>
      <w:pPr>
        <w:pStyle w:val="BodyText"/>
      </w:pPr>
      <w:r>
        <w:t xml:space="preserve">Признак наличия примечания о происхождении экземпляра вводится в словарь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4"/>
    <w:bookmarkStart w:id="95" w:name="X88e0e4c9241f5a4d137f77b669d46d493dfc400"/>
    <w:p>
      <w:pPr>
        <w:pStyle w:val="Heading2"/>
      </w:pPr>
      <w:r>
        <w:t xml:space="preserve">87. Поле 318: действия по сохранности документа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318</w:t>
      </w:r>
      <w:r>
        <w:t xml:space="preserve"> </w:t>
      </w:r>
      <w:r>
        <w:t xml:space="preserve">описывает действия, выполненные для сохранности конкретного экземпляра: действие, идентификацию действия, время и период проведения, условия, санкционирование, юрисдикцию, метод, место, исполнителя, состояние, меру, тип элемента, публикуемые и непубликуемые примечания, организацию-держателя и инвентарный номер.</w:t>
      </w:r>
    </w:p>
    <w:p>
      <w:pPr>
        <w:pStyle w:val="BodyText"/>
      </w:pPr>
      <w:r>
        <w:t xml:space="preserve">Поле повторяется для разных экземпляров. Его структура соответствует аналогичному полю формата RUSMARC. Признак наличия примечания о действиях над экземпляром вводится в словарь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5"/>
    <w:bookmarkStart w:id="96" w:name="поле-398-экслибрис"/>
    <w:p>
      <w:pPr>
        <w:pStyle w:val="Heading2"/>
      </w:pPr>
      <w:r>
        <w:t xml:space="preserve">88. Поле 398: экслибрис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398</w:t>
      </w:r>
      <w:r>
        <w:t xml:space="preserve"> </w:t>
      </w:r>
      <w:r>
        <w:t xml:space="preserve">содержит описание экслибриса и инвентарный номер экземпляра. Поле повторяется для разных экземпляров. В одно повторение можно ввести несколько экслибрисов одного экземпляра, разделяя их строкой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.</w:t>
      </w:r>
    </w:p>
    <w:p>
      <w:pPr>
        <w:pStyle w:val="BodyText"/>
      </w:pPr>
      <w:r>
        <w:t xml:space="preserve">Часто встречающиеся описания экслибрисов можно внести в справочник</w:t>
      </w:r>
      <w:r>
        <w:t xml:space="preserve"> </w:t>
      </w:r>
      <w:r>
        <w:rPr>
          <w:rStyle w:val="VerbatimChar"/>
        </w:rPr>
        <w:t xml:space="preserve">398.mnu</w:t>
      </w:r>
      <w:r>
        <w:t xml:space="preserve"> </w:t>
      </w:r>
      <w:r>
        <w:t xml:space="preserve">и использовать при вводе. Признак наличия экслибриса вводится в словарь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6"/>
    <w:bookmarkStart w:id="97" w:name="поля-395-и-396-пометки"/>
    <w:p>
      <w:pPr>
        <w:pStyle w:val="Heading2"/>
      </w:pPr>
      <w:r>
        <w:t xml:space="preserve">89. Поля 395 и 396: пометки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395</w:t>
      </w:r>
      <w:r>
        <w:t xml:space="preserve"> </w:t>
      </w:r>
      <w:r>
        <w:t xml:space="preserve">содержит пометки автора. Поле</w:t>
      </w:r>
      <w:r>
        <w:t xml:space="preserve"> </w:t>
      </w:r>
      <w:r>
        <w:rPr>
          <w:rStyle w:val="VerbatimChar"/>
        </w:rPr>
        <w:t xml:space="preserve">396</w:t>
      </w:r>
      <w:r>
        <w:t xml:space="preserve"> </w:t>
      </w:r>
      <w:r>
        <w:t xml:space="preserve">содержит пометки владельца коллекции. Оба поля заполняются в свободной форме, повторяются и формируют признаки в словаре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bookmarkEnd w:id="97"/>
    <w:bookmarkStart w:id="98" w:name="X0042e313e6b46e7489e451d63efb2935b5c2c32"/>
    <w:p>
      <w:pPr>
        <w:pStyle w:val="Heading2"/>
      </w:pPr>
      <w:r>
        <w:t xml:space="preserve">90. Поле 106: физическая форма бумажного носителя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106</w:t>
      </w:r>
      <w:r>
        <w:t xml:space="preserve"> </w:t>
      </w:r>
      <w:r>
        <w:t xml:space="preserve">содержит код физической формы текстового материала, например Брайль или минипечать. Поле не повторяется и не является поисковым.</w:t>
      </w:r>
    </w:p>
    <w:bookmarkEnd w:id="98"/>
    <w:bookmarkStart w:id="99" w:name="X8640c612480da274937ea99048683b7fc7c70bd"/>
    <w:p>
      <w:pPr>
        <w:pStyle w:val="Heading2"/>
      </w:pPr>
      <w:r>
        <w:t xml:space="preserve">91. Поле 116: кодированные данные графических материалов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116</w:t>
      </w:r>
      <w:r>
        <w:t xml:space="preserve"> </w:t>
      </w:r>
      <w:r>
        <w:t xml:space="preserve">содержит кодированные характеристики графических материалов: спецификацию материала, материал первичной и вторичной основы, цвет, технику исполнения рисунков, живописи или гравюр, функциональное назначение.</w:t>
      </w:r>
    </w:p>
    <w:p>
      <w:pPr>
        <w:pStyle w:val="BodyText"/>
      </w:pPr>
      <w:r>
        <w:t xml:space="preserve">Поле повторяется и не является поисковым.</w:t>
      </w:r>
    </w:p>
    <w:bookmarkEnd w:id="99"/>
    <w:bookmarkStart w:id="100" w:name="X1b69223056f2f0c90b353b518ed699cb1721c32"/>
    <w:p>
      <w:pPr>
        <w:pStyle w:val="Heading2"/>
      </w:pPr>
      <w:r>
        <w:t xml:space="preserve">92. Поле 140: общие кодированные характеристики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140</w:t>
      </w:r>
      <w:r>
        <w:t xml:space="preserve"> </w:t>
      </w:r>
      <w:r>
        <w:t xml:space="preserve">содержит кодированные сведения о документе в целом: иллюстрации книги и отдельных листов, технику иллюстраций, форму содержания, код литературы, код биографии, материал изготовления книги, материал иллюстраций, водяные знаки и эмблемы типографа или издателя.</w:t>
      </w:r>
    </w:p>
    <w:p>
      <w:pPr>
        <w:pStyle w:val="BodyText"/>
      </w:pPr>
      <w:r>
        <w:t xml:space="preserve">Поле не повторяется и не является поисковым. Для однотипных данных предусмотрен мультиввод кодов из справочников.</w:t>
      </w:r>
    </w:p>
    <w:bookmarkEnd w:id="100"/>
    <w:bookmarkStart w:id="101" w:name="X1118bbe49835681e64d6338dd7d86e491180c7d"/>
    <w:p>
      <w:pPr>
        <w:pStyle w:val="Heading2"/>
      </w:pPr>
      <w:r>
        <w:t xml:space="preserve">93. Поле 141: кодированные характеристики экземпляра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141</w:t>
      </w:r>
      <w:r>
        <w:t xml:space="preserve"> </w:t>
      </w:r>
      <w:r>
        <w:t xml:space="preserve">содержит кодированные сведения об экземплярах: материал и тип переплёта, признак</w:t>
      </w:r>
      <w:r>
        <w:t xml:space="preserve"> </w:t>
      </w:r>
      <w:r>
        <w:rPr>
          <w:rStyle w:val="VerbatimChar"/>
        </w:rPr>
        <w:t xml:space="preserve">сплетено с...</w:t>
      </w:r>
      <w:r>
        <w:t xml:space="preserve">, сохранность переплёта, сохранность книги, организацию-держателя и инвентарный номер.</w:t>
      </w:r>
    </w:p>
    <w:p>
      <w:pPr>
        <w:pStyle w:val="BodyText"/>
      </w:pPr>
      <w:r>
        <w:t xml:space="preserve">Поле повторяется для разных экземпляров и не является поисковым. Для однотипных данных можно использовать мультиввод: в обычной форме коды вводятся в подполя одного повторения, а в табличном виде - в активное подполе разных повторений.</w:t>
      </w:r>
    </w:p>
    <w:bookmarkEnd w:id="101"/>
    <w:bookmarkStart w:id="102" w:name="Xb0086a7841313fa5dcd345f6626ab9d29a6b3f6"/>
    <w:p>
      <w:pPr>
        <w:pStyle w:val="Heading2"/>
      </w:pPr>
      <w:r>
        <w:t xml:space="preserve">94. Поля 399, 397 и 929: состояние и разъединённые данные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399</w:t>
      </w:r>
      <w:r>
        <w:t xml:space="preserve"> </w:t>
      </w:r>
      <w:r>
        <w:t xml:space="preserve">содержит состояние или сохранность экземпляра и инвентарный номер. Поле заполняется свободно, повторяется для разных экземпляров и формирует признак в словаре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397</w:t>
      </w:r>
      <w:r>
        <w:t xml:space="preserve"> </w:t>
      </w:r>
      <w:r>
        <w:t xml:space="preserve">содержит примечание о технике изготовления предмета. Оно заполняется свободно, повторяется и также формирует признак в словаре</w:t>
      </w:r>
      <w:r>
        <w:t xml:space="preserve"> </w:t>
      </w:r>
      <w:r>
        <w:rPr>
          <w:rStyle w:val="VerbatimChar"/>
        </w:rPr>
        <w:t xml:space="preserve">Редкие книги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929</w:t>
      </w:r>
      <w:r>
        <w:t xml:space="preserve"> </w:t>
      </w:r>
      <w:r>
        <w:t xml:space="preserve">формируется автоматически из подполей</w:t>
      </w:r>
      <w:r>
        <w:t xml:space="preserve"> </w:t>
      </w:r>
      <w:r>
        <w:rPr>
          <w:rStyle w:val="VerbatimChar"/>
        </w:rPr>
        <w:t xml:space="preserve">Текст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316</w:t>
      </w:r>
      <w:r>
        <w:t xml:space="preserve">, если там присутствуют несколько значений, разделённых</w:t>
      </w:r>
      <w:r>
        <w:t xml:space="preserve"> </w:t>
      </w:r>
      <w:r>
        <w:rPr>
          <w:rStyle w:val="VerbatimChar"/>
        </w:rPr>
        <w:t xml:space="preserve">;</w:t>
      </w:r>
      <w:r>
        <w:t xml:space="preserve">. Данные</w:t>
      </w:r>
      <w:r>
        <w:t xml:space="preserve"> </w:t>
      </w:r>
      <w:r>
        <w:rPr>
          <w:rStyle w:val="VerbatimChar"/>
        </w:rPr>
        <w:t xml:space="preserve">929</w:t>
      </w:r>
      <w:r>
        <w:t xml:space="preserve"> </w:t>
      </w:r>
      <w:r>
        <w:t xml:space="preserve">попадают в служебный словарь особенностей экземпляра, который используется при вводе поля</w:t>
      </w:r>
      <w:r>
        <w:t xml:space="preserve"> </w:t>
      </w:r>
      <w:r>
        <w:rPr>
          <w:rStyle w:val="VerbatimChar"/>
        </w:rPr>
        <w:t xml:space="preserve">316</w:t>
      </w:r>
      <w:r>
        <w:t xml:space="preserve">; отдельные слова из</w:t>
      </w:r>
      <w:r>
        <w:t xml:space="preserve"> </w:t>
      </w:r>
      <w:r>
        <w:rPr>
          <w:rStyle w:val="VerbatimChar"/>
        </w:rPr>
        <w:t xml:space="preserve">929</w:t>
      </w:r>
      <w:r>
        <w:t xml:space="preserve"> </w:t>
      </w:r>
      <w:r>
        <w:t xml:space="preserve">включаются в словарь ключевых слов.</w:t>
      </w:r>
    </w:p>
    <w:bookmarkEnd w:id="102"/>
    <w:bookmarkStart w:id="103" w:name="страница-рл-краеведение"/>
    <w:p>
      <w:pPr>
        <w:pStyle w:val="Heading2"/>
      </w:pPr>
      <w:r>
        <w:t xml:space="preserve">95. Страница РЛ</w:t>
      </w:r>
      <w:r>
        <w:t xml:space="preserve"> </w:t>
      </w:r>
      <w:r>
        <w:rPr>
          <w:rStyle w:val="VerbatimChar"/>
        </w:rPr>
        <w:t xml:space="preserve">Краеведение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Краеведение</w:t>
      </w:r>
      <w:r>
        <w:t xml:space="preserve"> </w:t>
      </w:r>
      <w:r>
        <w:t xml:space="preserve">содержит данные для отражения краеведческой информации в библиографической записи.</w:t>
      </w:r>
    </w:p>
    <w:bookmarkEnd w:id="103"/>
    <w:bookmarkStart w:id="104" w:name="поле-629-данные-по-краеведению"/>
    <w:p>
      <w:pPr>
        <w:pStyle w:val="Heading2"/>
      </w:pPr>
      <w:r>
        <w:t xml:space="preserve">96. Поле 629: данные по краеведению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629</w:t>
      </w:r>
      <w:r>
        <w:t xml:space="preserve"> </w:t>
      </w:r>
      <w:r>
        <w:t xml:space="preserve">содержит признак необходимости добавочной карточки и данные по краеведению, выбираемые из справочника</w:t>
      </w:r>
      <w:r>
        <w:t xml:space="preserve"> </w:t>
      </w:r>
      <w:r>
        <w:rPr>
          <w:rStyle w:val="VerbatimChar"/>
        </w:rPr>
        <w:t xml:space="preserve">krv.mnu</w:t>
      </w:r>
      <w:r>
        <w:t xml:space="preserve">. Поле не повторяется.</w:t>
      </w:r>
    </w:p>
    <w:p>
      <w:pPr>
        <w:pStyle w:val="BodyText"/>
      </w:pPr>
      <w:r>
        <w:t xml:space="preserve">Справочник</w:t>
      </w:r>
      <w:r>
        <w:t xml:space="preserve"> </w:t>
      </w:r>
      <w:r>
        <w:rPr>
          <w:rStyle w:val="VerbatimChar"/>
        </w:rPr>
        <w:t xml:space="preserve">krv.mnu</w:t>
      </w:r>
      <w:r>
        <w:t xml:space="preserve"> </w:t>
      </w:r>
      <w:r>
        <w:t xml:space="preserve">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терминологией.</w:t>
      </w:r>
    </w:p>
    <w:p>
      <w:pPr>
        <w:pStyle w:val="BodyText"/>
      </w:pPr>
      <w:r>
        <w:t xml:space="preserve">Данные, введённые в</w:t>
      </w:r>
      <w:r>
        <w:t xml:space="preserve"> </w:t>
      </w:r>
      <w:r>
        <w:rPr>
          <w:rStyle w:val="VerbatimChar"/>
        </w:rPr>
        <w:t xml:space="preserve">629</w:t>
      </w:r>
      <w:r>
        <w:t xml:space="preserve">, включаются в словарь</w:t>
      </w:r>
      <w:r>
        <w:t xml:space="preserve"> </w:t>
      </w:r>
      <w:r>
        <w:rPr>
          <w:rStyle w:val="VerbatimChar"/>
        </w:rPr>
        <w:t xml:space="preserve">Краеведение</w:t>
      </w:r>
      <w:r>
        <w:t xml:space="preserve"> </w:t>
      </w:r>
      <w:r>
        <w:t xml:space="preserve">независимо от того, требуется ли подготовка добавочной карточки. Термин</w:t>
      </w:r>
      <w:r>
        <w:t xml:space="preserve"> </w:t>
      </w:r>
      <w:r>
        <w:rPr>
          <w:rStyle w:val="VerbatimChar"/>
        </w:rPr>
        <w:t xml:space="preserve">ВСЕГО</w:t>
      </w:r>
      <w:r>
        <w:t xml:space="preserve"> </w:t>
      </w:r>
      <w:r>
        <w:t xml:space="preserve">в этом словаре может использоваться как признак отбора всех документов, где заполнено поле</w:t>
      </w:r>
      <w:r>
        <w:t xml:space="preserve"> </w:t>
      </w:r>
      <w:r>
        <w:rPr>
          <w:rStyle w:val="VerbatimChar"/>
        </w:rPr>
        <w:t xml:space="preserve">629</w:t>
      </w:r>
      <w:r>
        <w:t xml:space="preserve">.</w:t>
      </w:r>
    </w:p>
    <w:bookmarkEnd w:id="104"/>
    <w:bookmarkStart w:id="105" w:name="специфические-поля-периодических-изданий"/>
    <w:p>
      <w:pPr>
        <w:pStyle w:val="Heading2"/>
      </w:pPr>
      <w:r>
        <w:t xml:space="preserve">97. Специфические поля периодических изданий</w:t>
      </w:r>
    </w:p>
    <w:p>
      <w:pPr>
        <w:pStyle w:val="FirstParagraph"/>
      </w:pPr>
      <w:r>
        <w:t xml:space="preserve">Для описаний сериальных и периодических изданий используются специальные поля связи со старыми и новыми заглавиями.</w:t>
      </w:r>
    </w:p>
    <w:bookmarkEnd w:id="105"/>
    <w:bookmarkStart w:id="106" w:name="Xcf72b48b673d9ab5bd7200314b440a2d0c71ed9"/>
    <w:p>
      <w:pPr>
        <w:pStyle w:val="Heading2"/>
      </w:pPr>
      <w:r>
        <w:t xml:space="preserve">98. Поле 430: предыдущие заглавия сериального издания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430</w:t>
      </w:r>
      <w:r>
        <w:t xml:space="preserve"> </w:t>
      </w:r>
      <w:r>
        <w:t xml:space="preserve">содержит сведения о предыдущем заглавии описываемого сериального издания: тип изменения, старое заглавие, сведения об ответственности, год изменения, ISSN, шифр и примечание.</w:t>
      </w:r>
    </w:p>
    <w:p>
      <w:pPr>
        <w:pStyle w:val="BodyText"/>
      </w:pPr>
      <w:r>
        <w:t xml:space="preserve">Тип изменения выбирается через меню и определяет характер связи: издание заменило предыдущее, отделилось от него и так далее. Поле может повторяться, если издание образовано в результате слияния нескольких изданий.</w:t>
      </w:r>
    </w:p>
    <w:p>
      <w:pPr>
        <w:pStyle w:val="BodyText"/>
      </w:pPr>
      <w:r>
        <w:t xml:space="preserve">Старое заглавие включается в словарь заглавий, а отдельные слова - в словарь ключевых слов. Поэтому издание становится доступным в поиске и по старому, и по новому заглавию.</w:t>
      </w:r>
    </w:p>
    <w:p>
      <w:pPr>
        <w:pStyle w:val="BodyText"/>
      </w:pPr>
      <w:r>
        <w:t xml:space="preserve">Заглавие можно вводить из словаря. Вместе с ним могут переноситься ранее введённые сведения: ISSN, год изменения, сведения об ответственности и шифр.</w:t>
      </w:r>
    </w:p>
    <w:bookmarkEnd w:id="106"/>
    <w:bookmarkStart w:id="107" w:name="Xeaa795edcdcd46c39592cd0fe17cfaaf52cf220"/>
    <w:p>
      <w:pPr>
        <w:pStyle w:val="Heading2"/>
      </w:pPr>
      <w:r>
        <w:t xml:space="preserve">99. Поле 440: последующие заглавия сериального издания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440</w:t>
      </w:r>
      <w:r>
        <w:t xml:space="preserve"> </w:t>
      </w:r>
      <w:r>
        <w:t xml:space="preserve">содержит сведения о последующем заглавии сериального издания, если оно прекращает выходить под прежним заглавием. В таком случае в выходных данных должна быть указана дата окончания издания, а в базе должна существовать новая запись на новое заглавие с заполненным полем предыдущего заглавия.</w:t>
      </w:r>
    </w:p>
    <w:p>
      <w:pPr>
        <w:pStyle w:val="BodyText"/>
      </w:pPr>
      <w:r>
        <w:t xml:space="preserve">В поле вводятся тип изменения, новое заглавие, сведения об ответственности, год изменения, ISSN, шифр и примечание. Тип изменения выбирается через меню и отражает характер связи: издание заменено другим, переименовано и так далее.</w:t>
      </w:r>
    </w:p>
    <w:p>
      <w:pPr>
        <w:pStyle w:val="BodyText"/>
      </w:pPr>
      <w:r>
        <w:t xml:space="preserve">Поле может повторяться, если издание разделилось на несколько последующих изданий.</w:t>
      </w:r>
    </w:p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страницы рабочих листов</dc:title>
  <dc:creator/>
  <cp:keywords/>
  <dcterms:created xsi:type="dcterms:W3CDTF">2026-11-02T05:07:08Z</dcterms:created>
  <dcterms:modified xsi:type="dcterms:W3CDTF">2026-11-02T05:07:08Z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