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PAZK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azk"/>
    <w:p>
      <w:pPr>
        <w:pStyle w:val="Heading1"/>
      </w:pPr>
      <w:r>
        <w:t xml:space="preserve">Назначение PAZK</w:t>
      </w:r>
    </w:p>
    <w:p>
      <w:pPr>
        <w:pStyle w:val="FirstParagraph"/>
      </w:pPr>
      <w:r>
        <w:rPr>
          <w:rStyle w:val="VerbatimChar"/>
        </w:rPr>
        <w:t xml:space="preserve">PAZK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. Он использует полевой редактор и рабочий лист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, а пользовательское отображение строится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и дополнительными форматами поиска и выставок.</w:t>
      </w:r>
    </w:p>
    <w:p>
      <w:pPr>
        <w:pStyle w:val="BodyText"/>
      </w:pPr>
      <w:r>
        <w:t xml:space="preserve">Модуль предназначен для хранения библиографического описания книги в вариантах, где основная точка доступа задается автором, коллективным автором или заглавием.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PAZK</dc:title>
  <dc:creator/>
  <cp:keywords/>
  <dcterms:created xsi:type="dcterms:W3CDTF">2026-10-28T06:43:12Z</dcterms:created>
  <dcterms:modified xsi:type="dcterms:W3CDTF">2026-10-28T06:43:12Z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