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[I128-1815] Применить изменения D3 к версии 2025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c7adb14adda5ed2dc0ee5b2babd8ece98c42c7"/>
    <w:p>
      <w:pPr>
        <w:pStyle w:val="Heading1"/>
      </w:pPr>
      <w:r>
        <w:t xml:space="preserve">[I128-1815] Применить изменения D3 к версии 2025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03.12.2025 11:52</w:t>
      </w:r>
    </w:p>
    <w:p>
      <w:pPr>
        <w:pStyle w:val="BodyText"/>
      </w:pPr>
      <w:r>
        <w:t xml:space="preserve">Проверить необходимость изменений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[I128-1815] Применить изменения D3 к версии 2025</dc:title>
  <dc:creator/>
  <cp:keywords/>
  <dcterms:created xsi:type="dcterms:W3CDTF">2026-10-21T23:25:00Z</dcterms:created>
  <dcterms:modified xsi:type="dcterms:W3CDTF">2026-10-21T23:25:00Z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