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доски-workflowview"/>
    <w:p>
      <w:pPr>
        <w:pStyle w:val="Heading1"/>
      </w:pPr>
      <w:r>
        <w:t xml:space="preserve">Назначение доски WorkflowView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предоставляет универсальные рабочие доски поверх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: колонки, swimlanes, WIP-лимиты, backlog, быстрые фильтры, профиль карточки и dry-run перемещения.</w:t>
      </w:r>
    </w:p>
    <w:p>
      <w:pPr>
        <w:pStyle w:val="BodyText"/>
      </w:pPr>
      <w:r>
        <w:t xml:space="preserve">Доска не является отдельным workflow-engine. Она не меняет статус записи напрямую и не знает доменную структуру задач или других записей. Базовая выборка остается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изменение состояния выполняется через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права проверяются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пользовательские настройки хранятся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доски WorkflowView</dc:title>
  <dc:creator/>
  <cp:keywords/>
  <dcterms:created xsi:type="dcterms:W3CDTF">2026-10-25T15:51:24Z</dcterms:created>
  <dcterms:modified xsi:type="dcterms:W3CDTF">2026-10-25T15:51:24Z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