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Порядок работы каталогизатора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7" w:name="порядок-работы-каталогизатора"/>
    <w:p>
      <w:pPr>
        <w:pStyle w:val="Heading1"/>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2" w:name="общая-схема-работы"/>
    <w:p>
      <w:pPr>
        <w:pStyle w:val="Heading2"/>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2"/>
    <w:bookmarkStart w:id="13" w:name="подготовка-к-вводу-книг"/>
    <w:p>
      <w:pPr>
        <w:pStyle w:val="Heading2"/>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01"/>
        </w:numPr>
      </w:pPr>
      <w:r>
        <w:t xml:space="preserve">использовать значения по умолчанию для текущего рабочего листа;</w:t>
      </w:r>
    </w:p>
    <w:p>
      <w:pPr>
        <w:pStyle w:val="Compact"/>
        <w:numPr>
          <w:ilvl w:val="0"/>
          <w:numId w:val="1001"/>
        </w:numPr>
      </w:pPr>
      <w:r>
        <w:t xml:space="preserve">скопировать общие поля в буферную запись и вставлять их в другие документы;</w:t>
      </w:r>
    </w:p>
    <w:p>
      <w:pPr>
        <w:pStyle w:val="Compact"/>
        <w:numPr>
          <w:ilvl w:val="0"/>
          <w:numId w:val="1001"/>
        </w:numPr>
      </w:pPr>
      <w:r>
        <w:t xml:space="preserve">использовать произвольные параметры настройки, если одно и то же значение должно применяться в разных сеансах работы.</w:t>
      </w:r>
    </w:p>
    <w:bookmarkEnd w:id="13"/>
    <w:bookmarkStart w:id="14" w:name="ввод-однотомного-издания"/>
    <w:p>
      <w:pPr>
        <w:pStyle w:val="Heading2"/>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4"/>
    <w:bookmarkStart w:id="15" w:name="предварительное-сохранение"/>
    <w:p>
      <w:pPr>
        <w:pStyle w:val="Heading2"/>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02"/>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02"/>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
    <w:bookmarkStart w:id="16" w:name="ввод-томов-многотомных-изданий"/>
    <w:p>
      <w:pPr>
        <w:pStyle w:val="Heading2"/>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03"/>
        </w:numPr>
      </w:pPr>
      <w:r>
        <w:t xml:space="preserve">ввести общие сведения при обработке первого тома и сохранить их как значения по умолчанию;</w:t>
      </w:r>
    </w:p>
    <w:p>
      <w:pPr>
        <w:pStyle w:val="Compact"/>
        <w:numPr>
          <w:ilvl w:val="0"/>
          <w:numId w:val="1003"/>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03"/>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6"/>
    <w:bookmarkStart w:id="18" w:name="корректура-документов"/>
    <w:p>
      <w:pPr>
        <w:pStyle w:val="Heading2"/>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7">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8"/>
    <w:bookmarkStart w:id="21" w:name="заимствование-библиографических-описаний"/>
    <w:p>
      <w:pPr>
        <w:pStyle w:val="Heading2"/>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9">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04"/>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04"/>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04"/>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20">
        <w:r>
          <w:rPr>
            <w:rStyle w:val="Hyperlink"/>
          </w:rPr>
          <w:t xml:space="preserve">Inline-каталогизация</w:t>
        </w:r>
      </w:hyperlink>
      <w:r>
        <w:t xml:space="preserve">.</w:t>
      </w:r>
    </w:p>
    <w:bookmarkEnd w:id="21"/>
    <w:bookmarkStart w:id="22" w:name="пополнение-каталога-через-книговыдачу"/>
    <w:p>
      <w:pPr>
        <w:pStyle w:val="Heading2"/>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05"/>
        </w:numPr>
      </w:pPr>
      <w:r>
        <w:t xml:space="preserve">первый автор, если он есть;</w:t>
      </w:r>
    </w:p>
    <w:p>
      <w:pPr>
        <w:pStyle w:val="Compact"/>
        <w:numPr>
          <w:ilvl w:val="0"/>
          <w:numId w:val="1005"/>
        </w:numPr>
      </w:pPr>
      <w:r>
        <w:t xml:space="preserve">заглавие;</w:t>
      </w:r>
    </w:p>
    <w:p>
      <w:pPr>
        <w:pStyle w:val="Compact"/>
        <w:numPr>
          <w:ilvl w:val="0"/>
          <w:numId w:val="1005"/>
        </w:numPr>
      </w:pPr>
      <w:r>
        <w:t xml:space="preserve">признак нехарактерного заглавия для многотомного издания, если он применим;</w:t>
      </w:r>
    </w:p>
    <w:p>
      <w:pPr>
        <w:pStyle w:val="Compact"/>
        <w:numPr>
          <w:ilvl w:val="0"/>
          <w:numId w:val="1005"/>
        </w:numPr>
      </w:pPr>
      <w:r>
        <w:t xml:space="preserve">номер тома для многотомного издания;</w:t>
      </w:r>
    </w:p>
    <w:p>
      <w:pPr>
        <w:pStyle w:val="Compact"/>
        <w:numPr>
          <w:ilvl w:val="0"/>
          <w:numId w:val="1005"/>
        </w:numPr>
      </w:pPr>
      <w:r>
        <w:t xml:space="preserve">год издания;</w:t>
      </w:r>
    </w:p>
    <w:p>
      <w:pPr>
        <w:pStyle w:val="Compact"/>
        <w:numPr>
          <w:ilvl w:val="0"/>
          <w:numId w:val="1005"/>
        </w:numPr>
      </w:pPr>
      <w:r>
        <w:t xml:space="preserve">число страниц;</w:t>
      </w:r>
    </w:p>
    <w:p>
      <w:pPr>
        <w:pStyle w:val="Compact"/>
        <w:numPr>
          <w:ilvl w:val="0"/>
          <w:numId w:val="1005"/>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
    <w:bookmarkStart w:id="23" w:name="обработка-периодических-изданий"/>
    <w:p>
      <w:pPr>
        <w:pStyle w:val="Heading2"/>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06"/>
        </w:numPr>
      </w:pPr>
      <w:r>
        <w:t xml:space="preserve">код вида периодического издания;</w:t>
      </w:r>
    </w:p>
    <w:p>
      <w:pPr>
        <w:pStyle w:val="Compact"/>
        <w:numPr>
          <w:ilvl w:val="0"/>
          <w:numId w:val="1006"/>
        </w:numPr>
      </w:pPr>
      <w:r>
        <w:t xml:space="preserve">две последние цифры года начала издания;</w:t>
      </w:r>
    </w:p>
    <w:p>
      <w:pPr>
        <w:pStyle w:val="Compact"/>
        <w:numPr>
          <w:ilvl w:val="0"/>
          <w:numId w:val="1006"/>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3"/>
    <w:bookmarkStart w:id="24" w:name="ввод-нового-периодического-издания"/>
    <w:p>
      <w:pPr>
        <w:pStyle w:val="Heading2"/>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4"/>
    <w:bookmarkStart w:id="25" w:name="сведения-о-заказе-периодики"/>
    <w:p>
      <w:pPr>
        <w:pStyle w:val="Heading2"/>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5"/>
    <w:bookmarkStart w:id="26" w:name="регистрация-новых-поступлений"/>
    <w:p>
      <w:pPr>
        <w:pStyle w:val="Heading2"/>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07"/>
        </w:numPr>
      </w:pPr>
      <w:r>
        <w:t xml:space="preserve">год и том, если том есть;</w:t>
      </w:r>
    </w:p>
    <w:p>
      <w:pPr>
        <w:pStyle w:val="Compact"/>
        <w:numPr>
          <w:ilvl w:val="0"/>
          <w:numId w:val="1007"/>
        </w:numPr>
      </w:pPr>
      <w:r>
        <w:t xml:space="preserve">номер выпуска;</w:t>
      </w:r>
    </w:p>
    <w:p>
      <w:pPr>
        <w:pStyle w:val="Compact"/>
        <w:numPr>
          <w:ilvl w:val="0"/>
          <w:numId w:val="1007"/>
        </w:numPr>
      </w:pPr>
      <w:r>
        <w:t xml:space="preserve">сведения об экземплярах;</w:t>
      </w:r>
    </w:p>
    <w:p>
      <w:pPr>
        <w:pStyle w:val="Compact"/>
        <w:numPr>
          <w:ilvl w:val="0"/>
          <w:numId w:val="1007"/>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07"/>
        </w:numPr>
      </w:pPr>
      <w:r>
        <w:t xml:space="preserve">номер экземпляра или комплекта, если нет сведений о заказе;</w:t>
      </w:r>
    </w:p>
    <w:p>
      <w:pPr>
        <w:pStyle w:val="Compact"/>
        <w:numPr>
          <w:ilvl w:val="0"/>
          <w:numId w:val="1007"/>
        </w:numPr>
      </w:pPr>
      <w:r>
        <w:t xml:space="preserve">штрих-код, если он есть и регистрируется один номер, а не интервал;</w:t>
      </w:r>
    </w:p>
    <w:p>
      <w:pPr>
        <w:pStyle w:val="Compact"/>
        <w:numPr>
          <w:ilvl w:val="0"/>
          <w:numId w:val="1007"/>
        </w:numPr>
      </w:pPr>
      <w:r>
        <w:t xml:space="preserve">номер КСУ, если он не установлен в настройке партии;</w:t>
      </w:r>
    </w:p>
    <w:p>
      <w:pPr>
        <w:pStyle w:val="Compact"/>
        <w:numPr>
          <w:ilvl w:val="0"/>
          <w:numId w:val="1007"/>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08"/>
        </w:numPr>
      </w:pPr>
      <w:r>
        <w:t xml:space="preserve">технологический путь номера;</w:t>
      </w:r>
    </w:p>
    <w:p>
      <w:pPr>
        <w:pStyle w:val="Compact"/>
        <w:numPr>
          <w:ilvl w:val="0"/>
          <w:numId w:val="1008"/>
        </w:numPr>
      </w:pPr>
      <w:r>
        <w:t xml:space="preserve">наличие библиографии и указателя;</w:t>
      </w:r>
    </w:p>
    <w:p>
      <w:pPr>
        <w:pStyle w:val="Compact"/>
        <w:numPr>
          <w:ilvl w:val="0"/>
          <w:numId w:val="1008"/>
        </w:numPr>
      </w:pPr>
      <w:r>
        <w:t xml:space="preserve">приложение к номеру на другом носителе;</w:t>
      </w:r>
    </w:p>
    <w:p>
      <w:pPr>
        <w:pStyle w:val="Compact"/>
        <w:numPr>
          <w:ilvl w:val="0"/>
          <w:numId w:val="1008"/>
        </w:numPr>
      </w:pPr>
      <w:r>
        <w:t xml:space="preserve">валовый номер при сложной или нечисловой нумерации;</w:t>
      </w:r>
    </w:p>
    <w:p>
      <w:pPr>
        <w:pStyle w:val="Compact"/>
        <w:numPr>
          <w:ilvl w:val="0"/>
          <w:numId w:val="1008"/>
        </w:numPr>
      </w:pPr>
      <w:r>
        <w:t xml:space="preserve">начальный номер в году для продолжающейся нумерации;</w:t>
      </w:r>
    </w:p>
    <w:p>
      <w:pPr>
        <w:pStyle w:val="Compact"/>
        <w:numPr>
          <w:ilvl w:val="0"/>
          <w:numId w:val="1008"/>
        </w:numPr>
      </w:pPr>
      <w:r>
        <w:t xml:space="preserve">дополнение к номеру, например дата выхода газеты;</w:t>
      </w:r>
    </w:p>
    <w:p>
      <w:pPr>
        <w:pStyle w:val="Compact"/>
        <w:numPr>
          <w:ilvl w:val="0"/>
          <w:numId w:val="1008"/>
        </w:numPr>
      </w:pPr>
      <w:r>
        <w:t xml:space="preserve">примечание к номеру;</w:t>
      </w:r>
    </w:p>
    <w:p>
      <w:pPr>
        <w:pStyle w:val="Compact"/>
        <w:numPr>
          <w:ilvl w:val="0"/>
          <w:numId w:val="1008"/>
        </w:numPr>
      </w:pPr>
      <w:r>
        <w:t xml:space="preserve">отличающиеся характеристики электронного ресурса;</w:t>
      </w:r>
    </w:p>
    <w:p>
      <w:pPr>
        <w:pStyle w:val="Compact"/>
        <w:numPr>
          <w:ilvl w:val="0"/>
          <w:numId w:val="1008"/>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6"/>
    <w:bookmarkStart w:id="28" w:name="корректура-номера-журнала"/>
    <w:p>
      <w:pPr>
        <w:pStyle w:val="Heading2"/>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09"/>
        </w:numPr>
      </w:pPr>
      <w:r>
        <w:t xml:space="preserve">ввести или дополнить оглавление и сведения о статьях;</w:t>
      </w:r>
    </w:p>
    <w:p>
      <w:pPr>
        <w:pStyle w:val="Compact"/>
        <w:numPr>
          <w:ilvl w:val="0"/>
          <w:numId w:val="1009"/>
        </w:numPr>
      </w:pPr>
      <w:r>
        <w:t xml:space="preserve">ввести приложения на вкладках;</w:t>
      </w:r>
    </w:p>
    <w:p>
      <w:pPr>
        <w:pStyle w:val="Compact"/>
        <w:numPr>
          <w:ilvl w:val="0"/>
          <w:numId w:val="1009"/>
        </w:numPr>
      </w:pPr>
      <w:r>
        <w:t xml:space="preserve">добавить частные шифры для четвёртого и последующих объединённых номеров;</w:t>
      </w:r>
    </w:p>
    <w:p>
      <w:pPr>
        <w:pStyle w:val="Compact"/>
        <w:numPr>
          <w:ilvl w:val="0"/>
          <w:numId w:val="1009"/>
        </w:numPr>
      </w:pPr>
      <w:r>
        <w:t xml:space="preserve">заполнить кумулированные номера за другой год;</w:t>
      </w:r>
    </w:p>
    <w:p>
      <w:pPr>
        <w:pStyle w:val="Compact"/>
        <w:numPr>
          <w:ilvl w:val="0"/>
          <w:numId w:val="1009"/>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09"/>
        </w:numPr>
      </w:pPr>
      <w:r>
        <w:t xml:space="preserve">ввести сведения о графической информации и полных текстах;</w:t>
      </w:r>
    </w:p>
    <w:p>
      <w:pPr>
        <w:pStyle w:val="Compact"/>
        <w:numPr>
          <w:ilvl w:val="0"/>
          <w:numId w:val="1009"/>
        </w:numPr>
      </w:pPr>
      <w:r>
        <w:t xml:space="preserve">изменить даты и направления передачи по технологическому пути;</w:t>
      </w:r>
    </w:p>
    <w:p>
      <w:pPr>
        <w:pStyle w:val="Compact"/>
        <w:numPr>
          <w:ilvl w:val="0"/>
          <w:numId w:val="1009"/>
        </w:numPr>
      </w:pPr>
      <w:r>
        <w:t xml:space="preserve">исправить регистрационные данные, экземпляры или сведения о статьях;</w:t>
      </w:r>
    </w:p>
    <w:p>
      <w:pPr>
        <w:pStyle w:val="Compact"/>
        <w:numPr>
          <w:ilvl w:val="0"/>
          <w:numId w:val="1009"/>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7">
        <w:r>
          <w:rPr>
            <w:rStyle w:val="Hyperlink"/>
          </w:rPr>
          <w:t xml:space="preserve">Переходы по связанным записям периодики</w:t>
        </w:r>
      </w:hyperlink>
      <w:r>
        <w:t xml:space="preserve">.</w:t>
      </w:r>
    </w:p>
    <w:bookmarkEnd w:id="28"/>
    <w:bookmarkStart w:id="29" w:name="регистрация-подшивок"/>
    <w:p>
      <w:pPr>
        <w:pStyle w:val="Heading2"/>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10"/>
        </w:numPr>
      </w:pPr>
      <w:r>
        <w:t xml:space="preserve">отдельные номера остаются доступными для обычного поиска;</w:t>
      </w:r>
    </w:p>
    <w:p>
      <w:pPr>
        <w:pStyle w:val="Compact"/>
        <w:numPr>
          <w:ilvl w:val="0"/>
          <w:numId w:val="1010"/>
        </w:numPr>
      </w:pPr>
      <w:r>
        <w:t xml:space="preserve">при просмотре видно, в какой подшивке находится экземпляр и доступен ли он;</w:t>
      </w:r>
    </w:p>
    <w:p>
      <w:pPr>
        <w:pStyle w:val="Compact"/>
        <w:numPr>
          <w:ilvl w:val="0"/>
          <w:numId w:val="1010"/>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10"/>
        </w:numPr>
      </w:pPr>
      <w:r>
        <w:t xml:space="preserve">при заказе номера подаётся нужная подшивка или отдельный непереплетённый номер;</w:t>
      </w:r>
    </w:p>
    <w:p>
      <w:pPr>
        <w:pStyle w:val="Compact"/>
        <w:numPr>
          <w:ilvl w:val="0"/>
          <w:numId w:val="1010"/>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9"/>
    <w:bookmarkStart w:id="30" w:name="выпуски-с-частным-заглавием"/>
    <w:p>
      <w:pPr>
        <w:pStyle w:val="Heading2"/>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11"/>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11"/>
        </w:numPr>
      </w:pPr>
      <w:r>
        <w:t xml:space="preserve">вводятся поля связи с библиографическим описанием журнала и сведения о серии или подсерии;</w:t>
      </w:r>
    </w:p>
    <w:p>
      <w:pPr>
        <w:pStyle w:val="Compact"/>
        <w:numPr>
          <w:ilvl w:val="0"/>
          <w:numId w:val="1011"/>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11"/>
        </w:numPr>
      </w:pPr>
      <w:r>
        <w:t xml:space="preserve">год выпуска переносится в выходные данные;</w:t>
      </w:r>
    </w:p>
    <w:p>
      <w:pPr>
        <w:pStyle w:val="Compact"/>
        <w:numPr>
          <w:ilvl w:val="0"/>
          <w:numId w:val="1011"/>
        </w:numPr>
      </w:pPr>
      <w:r>
        <w:t xml:space="preserve">вид документа формируется по коду из записи журнала;</w:t>
      </w:r>
    </w:p>
    <w:p>
      <w:pPr>
        <w:pStyle w:val="Compact"/>
        <w:numPr>
          <w:ilvl w:val="0"/>
          <w:numId w:val="1011"/>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11"/>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11"/>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30"/>
    <w:bookmarkStart w:id="31" w:name="ввод-аналитического-описания-статьи"/>
    <w:p>
      <w:pPr>
        <w:pStyle w:val="Heading2"/>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12"/>
        </w:numPr>
      </w:pPr>
      <w:r>
        <w:t xml:space="preserve">вручную с клавиатуры;</w:t>
      </w:r>
    </w:p>
    <w:p>
      <w:pPr>
        <w:pStyle w:val="Compact"/>
        <w:numPr>
          <w:ilvl w:val="0"/>
          <w:numId w:val="1012"/>
        </w:numPr>
      </w:pPr>
      <w:r>
        <w:t xml:space="preserve">копированием из документа-источника или другой статьи из того же источника;</w:t>
      </w:r>
    </w:p>
    <w:p>
      <w:pPr>
        <w:pStyle w:val="Compact"/>
        <w:numPr>
          <w:ilvl w:val="0"/>
          <w:numId w:val="1012"/>
        </w:numPr>
      </w:pPr>
      <w:r>
        <w:t xml:space="preserve">массовым созданием аналитических описаний из содержания сборника или оглавления номера журнала.</w:t>
      </w:r>
    </w:p>
    <w:bookmarkEnd w:id="31"/>
    <w:bookmarkStart w:id="32" w:name="ручной-ввод-статьи"/>
    <w:p>
      <w:pPr>
        <w:pStyle w:val="Heading2"/>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32"/>
    <w:bookmarkStart w:id="33" w:name="создание-статьи-копированием"/>
    <w:p>
      <w:pPr>
        <w:pStyle w:val="Heading2"/>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13"/>
        </w:numPr>
      </w:pPr>
      <w:r>
        <w:t xml:space="preserve">в базе есть запись номера журнала, сборника, тома или другого источника;</w:t>
      </w:r>
    </w:p>
    <w:p>
      <w:pPr>
        <w:pStyle w:val="Compact"/>
        <w:numPr>
          <w:ilvl w:val="0"/>
          <w:numId w:val="1013"/>
        </w:numPr>
      </w:pPr>
      <w:r>
        <w:t xml:space="preserve">в источнике уже заполнено содержание или оглавление;</w:t>
      </w:r>
    </w:p>
    <w:p>
      <w:pPr>
        <w:pStyle w:val="Compact"/>
        <w:numPr>
          <w:ilvl w:val="0"/>
          <w:numId w:val="1013"/>
        </w:numPr>
      </w:pPr>
      <w:r>
        <w:t xml:space="preserve">требуется создать несколько статей из одного источника;</w:t>
      </w:r>
    </w:p>
    <w:p>
      <w:pPr>
        <w:pStyle w:val="Compact"/>
        <w:numPr>
          <w:ilvl w:val="0"/>
          <w:numId w:val="1013"/>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33"/>
    <w:bookmarkStart w:id="34" w:name="Xfbf7fb70487c9272dbc20ad5296eaa7079ee3e1"/>
    <w:p>
      <w:pPr>
        <w:pStyle w:val="Heading2"/>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14"/>
        </w:numPr>
      </w:pPr>
      <w:r>
        <w:t xml:space="preserve">аналитические описания не создаются на заголовки разделов;</w:t>
      </w:r>
    </w:p>
    <w:p>
      <w:pPr>
        <w:pStyle w:val="Compact"/>
        <w:numPr>
          <w:ilvl w:val="0"/>
          <w:numId w:val="1014"/>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14"/>
        </w:numPr>
      </w:pPr>
      <w:r>
        <w:t xml:space="preserve">специальные символы разметки содержания игнорируются;</w:t>
      </w:r>
    </w:p>
    <w:p>
      <w:pPr>
        <w:pStyle w:val="Compact"/>
        <w:numPr>
          <w:ilvl w:val="0"/>
          <w:numId w:val="1014"/>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34"/>
    <w:bookmarkStart w:id="37" w:name="глобальная-корректировка-данных"/>
    <w:p>
      <w:pPr>
        <w:pStyle w:val="Heading2"/>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15"/>
        </w:numPr>
      </w:pPr>
      <w:r>
        <w:t xml:space="preserve">замена или удаление индексов ГРНТИ, УДК, ББК;</w:t>
      </w:r>
    </w:p>
    <w:p>
      <w:pPr>
        <w:pStyle w:val="Compact"/>
        <w:numPr>
          <w:ilvl w:val="0"/>
          <w:numId w:val="1015"/>
        </w:numPr>
      </w:pPr>
      <w:r>
        <w:t xml:space="preserve">исправление ошибочного фрагмента общего заглавия, размноженного в записях томов;</w:t>
      </w:r>
    </w:p>
    <w:p>
      <w:pPr>
        <w:pStyle w:val="Compact"/>
        <w:numPr>
          <w:ilvl w:val="0"/>
          <w:numId w:val="1015"/>
        </w:numPr>
      </w:pPr>
      <w:r>
        <w:t xml:space="preserve">обработка проверенных экземпляров при проверке фонда;</w:t>
      </w:r>
    </w:p>
    <w:p>
      <w:pPr>
        <w:pStyle w:val="Compact"/>
        <w:numPr>
          <w:ilvl w:val="0"/>
          <w:numId w:val="1015"/>
        </w:numPr>
      </w:pPr>
      <w:r>
        <w:t xml:space="preserve">технологическая обработка подшивок газет и журналов;</w:t>
      </w:r>
    </w:p>
    <w:p>
      <w:pPr>
        <w:pStyle w:val="Compact"/>
        <w:numPr>
          <w:ilvl w:val="0"/>
          <w:numId w:val="1015"/>
        </w:numPr>
      </w:pPr>
      <w:r>
        <w:t xml:space="preserve">корректировка записей после импорта из внешних форматов;</w:t>
      </w:r>
    </w:p>
    <w:p>
      <w:pPr>
        <w:pStyle w:val="Compact"/>
        <w:numPr>
          <w:ilvl w:val="0"/>
          <w:numId w:val="1015"/>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16"/>
        </w:numPr>
      </w:pPr>
      <w:r>
        <w:t xml:space="preserve">диапазон записей или область обработки;</w:t>
      </w:r>
    </w:p>
    <w:p>
      <w:pPr>
        <w:pStyle w:val="Compact"/>
        <w:numPr>
          <w:ilvl w:val="0"/>
          <w:numId w:val="1016"/>
        </w:numPr>
      </w:pPr>
      <w:r>
        <w:t xml:space="preserve">готовое задание корректировки либо новое задание;</w:t>
      </w:r>
    </w:p>
    <w:p>
      <w:pPr>
        <w:pStyle w:val="Compact"/>
        <w:numPr>
          <w:ilvl w:val="0"/>
          <w:numId w:val="1016"/>
        </w:numPr>
      </w:pPr>
      <w:r>
        <w:t xml:space="preserve">заменяемые и заменяющие значения, если задание параметризуется;</w:t>
      </w:r>
    </w:p>
    <w:p>
      <w:pPr>
        <w:pStyle w:val="Compact"/>
        <w:numPr>
          <w:ilvl w:val="0"/>
          <w:numId w:val="1016"/>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36" w:name="Xcd387482014d0e2c5e121a9217b41cdf326a762"/>
    <w:p>
      <w:pPr>
        <w:pStyle w:val="Heading3"/>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35">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17"/>
        </w:numPr>
      </w:pPr>
      <w:r>
        <w:t xml:space="preserve">просмотреть изменённые записи;</w:t>
      </w:r>
    </w:p>
    <w:p>
      <w:pPr>
        <w:pStyle w:val="Compact"/>
        <w:numPr>
          <w:ilvl w:val="0"/>
          <w:numId w:val="1017"/>
        </w:numPr>
      </w:pPr>
      <w:r>
        <w:t xml:space="preserve">убедиться, что словари актуализированы, если задание изменяло поисковые данные;</w:t>
      </w:r>
    </w:p>
    <w:p>
      <w:pPr>
        <w:pStyle w:val="Compact"/>
        <w:numPr>
          <w:ilvl w:val="0"/>
          <w:numId w:val="1017"/>
        </w:numPr>
      </w:pPr>
      <w:r>
        <w:t xml:space="preserve">проверить, не появились ли служебные термины, указывающие на незавершённую обработку;</w:t>
      </w:r>
    </w:p>
    <w:p>
      <w:pPr>
        <w:pStyle w:val="Compact"/>
        <w:numPr>
          <w:ilvl w:val="0"/>
          <w:numId w:val="1017"/>
        </w:numPr>
      </w:pPr>
      <w:r>
        <w:t xml:space="preserve">при обработке импортированных записей проверить вид документа, рабочий лист, экземпляры и связи;</w:t>
      </w:r>
    </w:p>
    <w:p>
      <w:pPr>
        <w:pStyle w:val="Compact"/>
        <w:numPr>
          <w:ilvl w:val="0"/>
          <w:numId w:val="1017"/>
        </w:numPr>
      </w:pPr>
      <w:r>
        <w:t xml:space="preserve">при массовой замене индексов проверить систематические словари и выходные формы.</w:t>
      </w:r>
    </w:p>
    <w:bookmarkEnd w:id="36"/>
    <w:bookmarkEnd w:id="37"/>
    <w:bookmarkStart w:id="38" w:name="типовые-задания-глобальной-корректировки"/>
    <w:p>
      <w:pPr>
        <w:pStyle w:val="Heading2"/>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38"/>
    <w:bookmarkStart w:id="39" w:name="Xd720559d5c0385c82f530873c70f160a62cce92"/>
    <w:p>
      <w:pPr>
        <w:pStyle w:val="Heading2"/>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18"/>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18"/>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39"/>
    <w:bookmarkStart w:id="43" w:name="проверка-фонда"/>
    <w:p>
      <w:pPr>
        <w:pStyle w:val="Heading2"/>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40">
        <w:r>
          <w:rPr>
            <w:rStyle w:val="Hyperlink"/>
          </w:rPr>
          <w:t xml:space="preserve">Проверка фонда</w:t>
        </w:r>
      </w:hyperlink>
      <w:r>
        <w:t xml:space="preserve">,</w:t>
      </w:r>
      <w:r>
        <w:t xml:space="preserve"> </w:t>
      </w:r>
      <w:hyperlink r:id="rId41">
        <w:r>
          <w:rPr>
            <w:rStyle w:val="Hyperlink"/>
          </w:rPr>
          <w:t xml:space="preserve">Отчёт о проверке фонда</w:t>
        </w:r>
      </w:hyperlink>
      <w:r>
        <w:t xml:space="preserve"> </w:t>
      </w:r>
      <w:r>
        <w:t xml:space="preserve">и</w:t>
      </w:r>
      <w:r>
        <w:t xml:space="preserve"> </w:t>
      </w:r>
      <w:hyperlink r:id="rId42">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19"/>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19"/>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43"/>
    <w:bookmarkStart w:id="44" w:name="что-изменяется-в-записи-при-проверке"/>
    <w:p>
      <w:pPr>
        <w:pStyle w:val="Heading2"/>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20"/>
        </w:numPr>
      </w:pPr>
      <w:r>
        <w:t xml:space="preserve">экземпляры, прошедшие проверку на дату;</w:t>
      </w:r>
    </w:p>
    <w:p>
      <w:pPr>
        <w:pStyle w:val="Compact"/>
        <w:numPr>
          <w:ilvl w:val="0"/>
          <w:numId w:val="1020"/>
        </w:numPr>
      </w:pPr>
      <w:r>
        <w:t xml:space="preserve">экземпляры, не прошедшие проверку по местам хранения;</w:t>
      </w:r>
    </w:p>
    <w:p>
      <w:pPr>
        <w:pStyle w:val="Compact"/>
        <w:numPr>
          <w:ilvl w:val="0"/>
          <w:numId w:val="1020"/>
        </w:numPr>
      </w:pPr>
      <w:r>
        <w:t xml:space="preserve">экземпляры, найденные не на месте;</w:t>
      </w:r>
    </w:p>
    <w:p>
      <w:pPr>
        <w:pStyle w:val="Compact"/>
        <w:numPr>
          <w:ilvl w:val="0"/>
          <w:numId w:val="1020"/>
        </w:numPr>
      </w:pPr>
      <w:r>
        <w:t xml:space="preserve">непроверенные инвентарные номера и штрих-коды;</w:t>
      </w:r>
    </w:p>
    <w:p>
      <w:pPr>
        <w:pStyle w:val="Compact"/>
        <w:numPr>
          <w:ilvl w:val="0"/>
          <w:numId w:val="1020"/>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44"/>
    <w:bookmarkStart w:id="45" w:name="подготовка-проверки-фонда"/>
    <w:p>
      <w:pPr>
        <w:pStyle w:val="Heading2"/>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21"/>
        </w:numPr>
      </w:pPr>
      <w:r>
        <w:t xml:space="preserve">режим проверки по словарю или списку штрих-кодов;</w:t>
      </w:r>
    </w:p>
    <w:p>
      <w:pPr>
        <w:pStyle w:val="Compact"/>
        <w:numPr>
          <w:ilvl w:val="0"/>
          <w:numId w:val="1021"/>
        </w:numPr>
      </w:pPr>
      <w:r>
        <w:t xml:space="preserve">дата проверки, если она должна отличаться от текущей или если проверка растянута во времени;</w:t>
      </w:r>
    </w:p>
    <w:p>
      <w:pPr>
        <w:pStyle w:val="Compact"/>
        <w:numPr>
          <w:ilvl w:val="0"/>
          <w:numId w:val="1021"/>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22"/>
        </w:numPr>
      </w:pPr>
      <w:r>
        <w:t xml:space="preserve">ввести штрих-коды или инвентарные номера вручную;</w:t>
      </w:r>
    </w:p>
    <w:p>
      <w:pPr>
        <w:pStyle w:val="Compact"/>
        <w:numPr>
          <w:ilvl w:val="0"/>
          <w:numId w:val="1022"/>
        </w:numPr>
      </w:pPr>
      <w:r>
        <w:t xml:space="preserve">загрузить текстовый файл, где каждый идентификатор расположен в отдельной строке;</w:t>
      </w:r>
    </w:p>
    <w:p>
      <w:pPr>
        <w:pStyle w:val="Compact"/>
        <w:numPr>
          <w:ilvl w:val="0"/>
          <w:numId w:val="1022"/>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45"/>
    <w:bookmarkStart w:id="46" w:name="выполнение-и-контроль-проверки"/>
    <w:p>
      <w:pPr>
        <w:pStyle w:val="Heading2"/>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23"/>
        </w:numPr>
      </w:pPr>
      <w:r>
        <w:t xml:space="preserve">сколько экземпляров получили дату проверки;</w:t>
      </w:r>
    </w:p>
    <w:p>
      <w:pPr>
        <w:pStyle w:val="Compact"/>
        <w:numPr>
          <w:ilvl w:val="0"/>
          <w:numId w:val="1023"/>
        </w:numPr>
      </w:pPr>
      <w:r>
        <w:t xml:space="preserve">какие экземпляры остались непроверенными;</w:t>
      </w:r>
    </w:p>
    <w:p>
      <w:pPr>
        <w:pStyle w:val="Compact"/>
        <w:numPr>
          <w:ilvl w:val="0"/>
          <w:numId w:val="1023"/>
        </w:numPr>
      </w:pPr>
      <w:r>
        <w:t xml:space="preserve">какие экземпляры отмечены как найденные не на месте;</w:t>
      </w:r>
    </w:p>
    <w:p>
      <w:pPr>
        <w:pStyle w:val="Compact"/>
        <w:numPr>
          <w:ilvl w:val="0"/>
          <w:numId w:val="1023"/>
        </w:numPr>
      </w:pPr>
      <w:r>
        <w:t xml:space="preserve">корректно ли сформированы архивные сведения при полной проверке;</w:t>
      </w:r>
    </w:p>
    <w:p>
      <w:pPr>
        <w:pStyle w:val="Compact"/>
        <w:numPr>
          <w:ilvl w:val="0"/>
          <w:numId w:val="1023"/>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9" Target="?id=Help/Show&amp;m=Cataloguer/Help/CataloguerGuide/ImportRecords" TargetMode="External" /><Relationship Type="http://schemas.openxmlformats.org/officeDocument/2006/relationships/hyperlink" Id="rId20" Target="?id=Help/Show&amp;m=Cataloguer/Help/CataloguerGuide/InlineCataloging" TargetMode="External" /><Relationship Type="http://schemas.openxmlformats.org/officeDocument/2006/relationships/hyperlink" Id="rId27" Target="?id=Help/Show&amp;m=Cataloguer/Help/CataloguerGuide/PeriodicalLinks" TargetMode="External" /><Relationship Type="http://schemas.openxmlformats.org/officeDocument/2006/relationships/hyperlink" Id="rId40" Target="?id=Help/Show&amp;m=Complectator/Help/UserGuide/ProvFond" TargetMode="External" /><Relationship Type="http://schemas.openxmlformats.org/officeDocument/2006/relationships/hyperlink" Id="rId42" Target="?id=Help/Show&amp;m=Complectator/Help/UserGuide/ProvFondArchive" TargetMode="External" /><Relationship Type="http://schemas.openxmlformats.org/officeDocument/2006/relationships/hyperlink" Id="rId41" Target="?id=Help/Show&amp;m=Complectator/Help/UserGuide/ProvFondReport" TargetMode="External" /><Relationship Type="http://schemas.openxmlformats.org/officeDocument/2006/relationships/hyperlink" Id="rId35" Target="?id=Help/Show&amp;m=GlobalCorrection/Help/Correca" TargetMode="External" /><Relationship Type="http://schemas.openxmlformats.org/officeDocument/2006/relationships/hyperlink" Id="rId17"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9" Target="?id=Help/Show&amp;m=Cataloguer/Help/CataloguerGuide/ImportRecords" TargetMode="External" /><Relationship Type="http://schemas.openxmlformats.org/officeDocument/2006/relationships/hyperlink" Id="rId20" Target="?id=Help/Show&amp;m=Cataloguer/Help/CataloguerGuide/InlineCataloging" TargetMode="External" /><Relationship Type="http://schemas.openxmlformats.org/officeDocument/2006/relationships/hyperlink" Id="rId27" Target="?id=Help/Show&amp;m=Cataloguer/Help/CataloguerGuide/PeriodicalLinks" TargetMode="External" /><Relationship Type="http://schemas.openxmlformats.org/officeDocument/2006/relationships/hyperlink" Id="rId40" Target="?id=Help/Show&amp;m=Complectator/Help/UserGuide/ProvFond" TargetMode="External" /><Relationship Type="http://schemas.openxmlformats.org/officeDocument/2006/relationships/hyperlink" Id="rId42" Target="?id=Help/Show&amp;m=Complectator/Help/UserGuide/ProvFondArchive" TargetMode="External" /><Relationship Type="http://schemas.openxmlformats.org/officeDocument/2006/relationships/hyperlink" Id="rId41" Target="?id=Help/Show&amp;m=Complectator/Help/UserGuide/ProvFondReport" TargetMode="External" /><Relationship Type="http://schemas.openxmlformats.org/officeDocument/2006/relationships/hyperlink" Id="rId35" Target="?id=Help/Show&amp;m=GlobalCorrection/Help/Correca" TargetMode="External" /><Relationship Type="http://schemas.openxmlformats.org/officeDocument/2006/relationships/hyperlink" Id="rId17"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 работы каталогизатора</dc:title>
  <dc:creator/>
  <cp:keywords/>
  <dcterms:created xsi:type="dcterms:W3CDTF">2026-10-22T15:56:11Z</dcterms:created>
  <dcterms:modified xsi:type="dcterms:W3CDTF">2026-10-22T15:56:11Z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