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&amp;uf(’C… - Контроль ISSN/ISBN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c---контроль-issnisbn"/>
    <w:p>
      <w:pPr>
        <w:pStyle w:val="Heading1"/>
      </w:pPr>
      <w:r>
        <w:t xml:space="preserve">&amp;uf(’C… - Контроль ISSN/ISBN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Контроль ISSN/ISBN</w:t>
      </w:r>
    </w:p>
    <w:p>
      <w:pPr>
        <w:pStyle w:val="BodyText"/>
      </w:pPr>
      <w:r>
        <w:t xml:space="preserve">При положительном результате - 0</w:t>
      </w:r>
    </w:p>
    <w:p>
      <w:pPr>
        <w:pStyle w:val="BodyText"/>
      </w:pPr>
      <w:r>
        <w:t xml:space="preserve">При отрицательном - 1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С&lt;ISSN/ISBN&gt;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&amp;unifor("C"v10^a)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&amp;uf(’C… - Контроль ISSN/ISBN</dc:title>
  <dc:creator/>
  <cp:keywords/>
  <dcterms:created xsi:type="dcterms:W3CDTF">2026-10-24T11:57:42Z</dcterms:created>
  <dcterms:modified xsi:type="dcterms:W3CDTF">2026-10-24T11:57:42Z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