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RAVR(формат)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avrформат"/>
    <w:p>
      <w:pPr>
        <w:pStyle w:val="Heading1"/>
      </w:pPr>
      <w:r>
        <w:t xml:space="preserve">Функция RAVR(формат)</w:t>
      </w:r>
    </w:p>
    <w:p>
      <w:pPr>
        <w:pStyle w:val="FirstParagraph"/>
      </w:pPr>
      <w:r>
        <w:t xml:space="preserve">Функция RAVR возвращает среднее арифметическое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Вычисленное среднее значение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необходимо предусмотреть, чтобы такое разделение в формате присутствовало. Функция RAVR может использоваться для вычисления среднего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(v1|;|)</w:t>
            </w:r>
          </w:p>
        </w:tc>
        <w:tc>
          <w:tcPr/>
          <w:p>
            <w:pPr>
              <w:pStyle w:val="Compac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25.25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RAVR(формат)</dc:title>
  <dc:creator/>
  <cp:keywords/>
  <dcterms:created xsi:type="dcterms:W3CDTF">2026-10-30T17:49:41Z</dcterms:created>
  <dcterms:modified xsi:type="dcterms:W3CDTF">2026-10-30T17:49:41Z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