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Логические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логические-функции"/>
    <w:p>
      <w:pPr>
        <w:pStyle w:val="Heading1"/>
      </w:pPr>
      <w:r>
        <w:t xml:space="preserve">Логические функции</w:t>
      </w:r>
    </w:p>
    <w:bookmarkStart w:id="9" w:name="функция-ркоманда-вывода-поляподполя"/>
    <w:p>
      <w:pPr>
        <w:pStyle w:val="Heading2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bookmarkStart w:id="10" w:name="функция-a-команда-вывода-поляподполя"/>
    <w:p>
      <w:pPr>
        <w:pStyle w:val="Heading2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10"/>
    <w:bookmarkStart w:id="11" w:name="команда-if"/>
    <w:p>
      <w:pPr>
        <w:pStyle w:val="Heading2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Логические функции</dc:title>
  <dc:creator/>
  <cp:keywords/>
  <dcterms:created xsi:type="dcterms:W3CDTF">2026-10-24T20:10:05Z</dcterms:created>
  <dcterms:modified xsi:type="dcterms:W3CDTF">2026-10-24T20:10:05Z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