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 хранит проекты Workflow и связывает прикладные типы записей с workflow, схемами интерфейса, правилами идентификации и доступными типами связей записей проекта.</w:t>
      </w:r>
    </w:p>
    <w:bookmarkStart w:id="17" w:name="назначение-workflowproject"/>
    <w:p>
      <w:pPr>
        <w:pStyle w:val="Heading2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bookmarkStart w:id="18" w:name="X7d0afae73644aaef0685c61b729698814f715a2"/>
    <w:p>
      <w:pPr>
        <w:pStyle w:val="Heading2"/>
      </w:pPr>
      <w:r>
        <w:t xml:space="preserve">Повторная ссылка пропущена: Workflow/Modules/WorkflowProject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2026-10-17T03:26:42Z</dcterms:created>
  <dcterms:modified xsi:type="dcterms:W3CDTF">2026-10-17T03:26:42Z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