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Рабочие листы ввода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абочие-листы-ввода-данных"/>
    <w:p>
      <w:pPr>
        <w:pStyle w:val="Heading1"/>
      </w:pPr>
      <w:r>
        <w:t xml:space="preserve">Рабочие листы ввода данных</w:t>
      </w:r>
    </w:p>
    <w:p>
      <w:pPr>
        <w:pStyle w:val="FirstParagraph"/>
      </w:pPr>
      <w:r>
        <w:t xml:space="preserve">Рабочие листы (РЛ) определяют экранные формы, которые используются при вводе и корректировке библиографической записи. Типология РЛ соответствует методике составления библиографических записей и разделяет монографическое, сводное и аналитическое описание.</w:t>
      </w:r>
    </w:p>
    <w:p>
      <w:pPr>
        <w:pStyle w:val="BodyText"/>
      </w:pPr>
      <w:r>
        <w:t xml:space="preserve">Вложенные рабочие листы позволяют переиспользовать общие группы элементов данных. Если состав общей группы меняется, исправление выполняется в одном месте и затем используется в нескольких основных РЛ.</w:t>
      </w:r>
    </w:p>
    <w:p>
      <w:pPr>
        <w:pStyle w:val="BodyText"/>
      </w:pPr>
      <w:r>
        <w:t xml:space="preserve">Одностраничные РЛ могут применяться для специализированной обработки: систематизации, предметизации, краеведения, описания редких книг и содержания сборников. В таких режимах остальные элементы записи могут быть доступны только для просмотра.</w:t>
      </w:r>
    </w:p>
    <w:bookmarkStart w:id="9" w:name="основные-рабочие-листы"/>
    <w:p>
      <w:pPr>
        <w:pStyle w:val="Heading2"/>
      </w:pPr>
      <w:r>
        <w:t xml:space="preserve">1. Основные рабочие листы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РЛ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Основной состав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PAZK42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Монографическое описание однотомника или тома с частным заглавием под индивидуальным автором, коллективным автором или заглавием</w:t>
            </w:r>
          </w:p>
        </w:tc>
        <w:tc>
          <w:tcPr/>
          <w:p>
            <w:pPr>
              <w:pStyle w:val="Compact"/>
            </w:pPr>
            <w:r>
              <w:t xml:space="preserve">Страница дублетности,</w:t>
            </w:r>
            <w:r>
              <w:t xml:space="preserve"> </w:t>
            </w:r>
            <w:r>
              <w:rPr>
                <w:rStyle w:val="VerbatimChar"/>
              </w:rPr>
              <w:t xml:space="preserve">Bouni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Index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Content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KRV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PVK42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Монографическое описание под временным коллективным автором</w:t>
            </w:r>
          </w:p>
        </w:tc>
        <w:tc>
          <w:tcPr/>
          <w:p>
            <w:pPr>
              <w:pStyle w:val="Compact"/>
            </w:pPr>
            <w:r>
              <w:t xml:space="preserve">Страница дублетности,</w:t>
            </w:r>
            <w:r>
              <w:t xml:space="preserve"> </w:t>
            </w:r>
            <w:r>
              <w:rPr>
                <w:rStyle w:val="VerbatimChar"/>
              </w:rPr>
              <w:t xml:space="preserve">Bouni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Index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Content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KRV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SPEC42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Сводное описание тома: общая часть и спецификация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МН-общ.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Bouni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Index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Content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KRV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OJ51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Сводное описание журнала, газеты или другого сериального издания без частных заглавий выпусков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Fizh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Index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Kumul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Technj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!RPJ51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Регистрация поступлений и корректировка описаний журналов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Boj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Fizh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Index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Kumul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Technj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!NJ31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</w:p>
        </w:tc>
        <w:tc>
          <w:tcPr/>
          <w:p>
            <w:pPr>
              <w:pStyle w:val="Compact"/>
            </w:pPr>
            <w:r>
              <w:t xml:space="preserve">Описание отдельного номера или выпуска журнала</w:t>
            </w:r>
          </w:p>
        </w:tc>
        <w:tc>
          <w:tcPr/>
          <w:p>
            <w:pPr>
              <w:pStyle w:val="Compact"/>
            </w:pPr>
            <w:r>
              <w:t xml:space="preserve">Специальные страницы номера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!NJ31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NJK</w:t>
            </w:r>
          </w:p>
        </w:tc>
        <w:tc>
          <w:tcPr/>
          <w:p>
            <w:pPr>
              <w:pStyle w:val="Compact"/>
            </w:pPr>
            <w:r>
              <w:t xml:space="preserve">Описание подшивки номеров или выпусков журнала</w:t>
            </w:r>
          </w:p>
        </w:tc>
        <w:tc>
          <w:tcPr/>
          <w:p>
            <w:pPr>
              <w:pStyle w:val="Compact"/>
            </w:pPr>
            <w:r>
              <w:t xml:space="preserve">Специальные страницы подшивки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!NJ31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Описание номера или выпуска, вошедшего в подшивку</w:t>
            </w:r>
          </w:p>
        </w:tc>
        <w:tc>
          <w:tcPr/>
          <w:p>
            <w:pPr>
              <w:pStyle w:val="Compact"/>
            </w:pPr>
            <w:r>
              <w:t xml:space="preserve">Специальные страницы номера в подшивке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ASP42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Аналитическое описание статьи</w:t>
            </w:r>
          </w:p>
        </w:tc>
        <w:tc>
          <w:tcPr/>
          <w:p>
            <w:pPr>
              <w:pStyle w:val="Compact"/>
            </w:pPr>
            <w:r>
              <w:t xml:space="preserve">Страница дублетности,</w:t>
            </w:r>
            <w:r>
              <w:t xml:space="preserve"> </w:t>
            </w:r>
            <w:r>
              <w:rPr>
                <w:rStyle w:val="VerbatimChar"/>
              </w:rPr>
              <w:t xml:space="preserve">BouniA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Index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Рец/Реф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Content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KRV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AUNTD42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Аналитическое описание юридического, директивного или нормативно-технического документа</w:t>
            </w:r>
          </w:p>
        </w:tc>
        <w:tc>
          <w:tcPr/>
          <w:p>
            <w:pPr>
              <w:pStyle w:val="Compact"/>
            </w:pPr>
            <w:r>
              <w:t xml:space="preserve">Страница дублетности,</w:t>
            </w:r>
            <w:r>
              <w:t xml:space="preserve"> </w:t>
            </w:r>
            <w:r>
              <w:rPr>
                <w:rStyle w:val="VerbatimChar"/>
              </w:rPr>
              <w:t xml:space="preserve">BouniA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Index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MUSP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MUSP</w:t>
            </w:r>
          </w:p>
        </w:tc>
        <w:tc>
          <w:tcPr/>
          <w:p>
            <w:pPr>
              <w:pStyle w:val="Compact"/>
            </w:pPr>
            <w:r>
              <w:t xml:space="preserve">Описание музейного предмета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Компл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Коды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Основное описание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Расширенное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Музей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Систематизация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Специфические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Технология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Экземпляры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Упрощённое библиографическое описание книги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Основное БО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Экземпляры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Систематизация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Технология</w:t>
            </w:r>
          </w:p>
        </w:tc>
      </w:tr>
    </w:tbl>
    <w:p>
      <w:pPr>
        <w:pStyle w:val="BodyText"/>
      </w:pPr>
      <w:r>
        <w:t xml:space="preserve">Варианты</w:t>
      </w:r>
      <w:r>
        <w:t xml:space="preserve"> </w:t>
      </w:r>
      <w:r>
        <w:rPr>
          <w:rStyle w:val="VerbatimChar"/>
        </w:rPr>
        <w:t xml:space="preserve">PAZK71</w:t>
      </w:r>
      <w:r>
        <w:t xml:space="preserve">,</w:t>
      </w:r>
      <w:r>
        <w:t xml:space="preserve"> </w:t>
      </w:r>
      <w:r>
        <w:rPr>
          <w:rStyle w:val="VerbatimChar"/>
        </w:rPr>
        <w:t xml:space="preserve">PVK71</w:t>
      </w:r>
      <w:r>
        <w:t xml:space="preserve">,</w:t>
      </w:r>
      <w:r>
        <w:t xml:space="preserve"> </w:t>
      </w:r>
      <w:r>
        <w:rPr>
          <w:rStyle w:val="VerbatimChar"/>
        </w:rPr>
        <w:t xml:space="preserve">SPEC71</w:t>
      </w:r>
      <w:r>
        <w:t xml:space="preserve">,</w:t>
      </w:r>
      <w:r>
        <w:t xml:space="preserve"> </w:t>
      </w:r>
      <w:r>
        <w:rPr>
          <w:rStyle w:val="VerbatimChar"/>
        </w:rPr>
        <w:t xml:space="preserve">ASP71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AUNTD71</w:t>
      </w:r>
      <w:r>
        <w:t xml:space="preserve"> </w:t>
      </w:r>
      <w:r>
        <w:t xml:space="preserve">повторяют соответствующие рабочие листы, но используют расширенный РЛ</w:t>
      </w:r>
      <w:r>
        <w:t xml:space="preserve"> </w:t>
      </w:r>
      <w:r>
        <w:rPr>
          <w:rStyle w:val="VerbatimChar"/>
        </w:rPr>
        <w:t xml:space="preserve">Content71</w:t>
      </w:r>
      <w:r>
        <w:t xml:space="preserve"> </w:t>
      </w:r>
      <w:r>
        <w:t xml:space="preserve">для ввода содержания.</w:t>
      </w:r>
    </w:p>
    <w:bookmarkEnd w:id="9"/>
    <w:bookmarkStart w:id="10" w:name="вложенные-рабочие-листы"/>
    <w:p>
      <w:pPr>
        <w:pStyle w:val="Heading2"/>
      </w:pPr>
      <w:r>
        <w:t xml:space="preserve">2. Вложенные рабочие листы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Вложенный РЛ</w:t>
            </w:r>
          </w:p>
        </w:tc>
        <w:tc>
          <w:tcPr/>
          <w:p>
            <w:pPr>
              <w:pStyle w:val="Compact"/>
            </w:pPr>
            <w:r>
              <w:t xml:space="preserve">Где используется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Bouni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Общие страницы для описания книг: коды, основное БО, расширенное БО, специфические сведения, экземпляры, технология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BouniA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Общие страницы аналитических описаний без страницы экземпляров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Index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Систематизация, предметизация, персоналии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Содержание или оглавление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Content71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Расширенный ввод содержания, включая краткое содержание по заглавию или автору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Элементы данных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Данные редких книг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KRV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Краеведение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Techn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Bouni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BouniA</w:t>
            </w:r>
          </w:p>
        </w:tc>
        <w:tc>
          <w:tcPr/>
          <w:p>
            <w:pPr>
              <w:pStyle w:val="Compact"/>
            </w:pPr>
            <w:r>
              <w:t xml:space="preserve">Технологические сведения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Boj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журнала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Kod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Boj</w:t>
            </w:r>
          </w:p>
        </w:tc>
        <w:tc>
          <w:tcPr/>
          <w:p>
            <w:pPr>
              <w:pStyle w:val="Compact"/>
            </w:pPr>
            <w:r>
              <w:t xml:space="preserve">Кодированная информация журнала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Rboi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Boj</w:t>
            </w:r>
          </w:p>
        </w:tc>
        <w:tc>
          <w:tcPr/>
          <w:p>
            <w:pPr>
              <w:pStyle w:val="Compact"/>
            </w:pPr>
            <w:r>
              <w:t xml:space="preserve">Расширенное библиографическое описание и изменения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Fizh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Физические характеристики журнала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Регистрация поступлений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Kumul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Кумулированные сведения о поступлениях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Technj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Технологические сведения журнала</w:t>
            </w:r>
          </w:p>
        </w:tc>
      </w:tr>
    </w:tbl>
    <w:bookmarkEnd w:id="10"/>
    <w:bookmarkStart w:id="11" w:name="книги-и-тома"/>
    <w:p>
      <w:pPr>
        <w:pStyle w:val="Heading2"/>
      </w:pPr>
      <w:r>
        <w:t xml:space="preserve">3. Книги и тома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используются для монографического описания однотомного издания или отдельного тома многотомного издания с частным заглавием.</w:t>
      </w:r>
    </w:p>
    <w:p>
      <w:pPr>
        <w:pStyle w:val="BodyText"/>
      </w:pPr>
      <w:r>
        <w:t xml:space="preserve">Код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применяется для описания под автором, под заглавием или под коллективом. Код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применяется для описания под временным коллективом.</w:t>
      </w:r>
    </w:p>
    <w:p>
      <w:pPr>
        <w:pStyle w:val="BodyText"/>
      </w:pPr>
      <w:r>
        <w:t xml:space="preserve">Эти рабочие листы включают страницу проверки на дублетность, общие страницы описания книг и одностраничные РЛ для систематизации, содержания, книгообеспеченности, редких книг и краеведения.</w:t>
      </w:r>
    </w:p>
    <w:p>
      <w:pPr>
        <w:pStyle w:val="BodyText"/>
      </w:pPr>
      <w:r>
        <w:t xml:space="preserve">РЛ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используется для сводного описания тома, когда отдельный том не имеет частного заглавия и связан с общей частью многотомного издания. Проверка на дублетность выполняется при вводе элемента данных, связанного с объёмом конкретного тома.</w:t>
      </w:r>
    </w:p>
    <w:p>
      <w:pPr>
        <w:pStyle w:val="BodyText"/>
      </w:pPr>
      <w:r>
        <w:t xml:space="preserve">При поступлении второго и последующих томов можно использовать копирование ранее введённого документа с последующей корректировкой и дополнением сведений.</w:t>
      </w:r>
    </w:p>
    <w:bookmarkEnd w:id="11"/>
    <w:bookmarkStart w:id="12" w:name="аналитические-описания"/>
    <w:p>
      <w:pPr>
        <w:pStyle w:val="Heading2"/>
      </w:pPr>
      <w:r>
        <w:t xml:space="preserve">4. Аналитические описания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используется для аналитического описания статьи. Он содержит страницу дублетности со сведениями об источнике, общие страницы аналитического описания, страницу систематизации, содержание, краеведение и страницу</w:t>
      </w:r>
      <w:r>
        <w:t xml:space="preserve"> </w:t>
      </w:r>
      <w:r>
        <w:rPr>
          <w:rStyle w:val="VerbatimChar"/>
        </w:rPr>
        <w:t xml:space="preserve">Рецензия/Реферат</w:t>
      </w:r>
      <w:r>
        <w:t xml:space="preserve">.</w:t>
      </w:r>
    </w:p>
    <w:p>
      <w:pPr>
        <w:pStyle w:val="BodyText"/>
      </w:pPr>
      <w:r>
        <w:t xml:space="preserve">РЛ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используется для аналитического описания юридических, директивных и нормативно-технических документов. Он содержит страницу дублетности, общие страницы аналитического описания и страницу систематизации.</w:t>
      </w:r>
    </w:p>
    <w:bookmarkEnd w:id="12"/>
    <w:bookmarkStart w:id="13" w:name="журналы-и-номера"/>
    <w:p>
      <w:pPr>
        <w:pStyle w:val="Heading2"/>
      </w:pPr>
      <w:r>
        <w:t xml:space="preserve">5. Журналы и номера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OJ51</w:t>
      </w:r>
      <w:r>
        <w:t xml:space="preserve"> </w:t>
      </w:r>
      <w:r>
        <w:t xml:space="preserve">с кодом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ввода сводного описания журнала или другого сериального издания. В него вводятся библиографические данные издания, физические характеристики, систематизация, регистрация поступлений, кумулированные сведения и технологические данные.</w:t>
      </w:r>
    </w:p>
    <w:p>
      <w:pPr>
        <w:pStyle w:val="BodyText"/>
      </w:pPr>
      <w:r>
        <w:t xml:space="preserve">При регистрации поступлений или корректировке документов с кодом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модификация</w:t>
      </w:r>
      <w:r>
        <w:t xml:space="preserve"> </w:t>
      </w:r>
      <w:r>
        <w:rPr>
          <w:rStyle w:val="VerbatimChar"/>
        </w:rPr>
        <w:t xml:space="preserve">!RPJ51</w:t>
      </w:r>
      <w:r>
        <w:t xml:space="preserve">. Она отличается порядком страниц: первой открывается страница</w:t>
      </w:r>
      <w:r>
        <w:t xml:space="preserve"> </w:t>
      </w:r>
      <w:r>
        <w:rPr>
          <w:rStyle w:val="VerbatimChar"/>
        </w:rPr>
        <w:t xml:space="preserve">Регистрация</w:t>
      </w:r>
      <w:r>
        <w:t xml:space="preserve">. Этот рабочий лист не выбирается как новый РЛ вручную, потому что предназначен для корректировки уже существующего журнального описания.</w:t>
      </w:r>
    </w:p>
    <w:p>
      <w:pPr>
        <w:pStyle w:val="BodyText"/>
      </w:pPr>
      <w:r>
        <w:t xml:space="preserve">РЛ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 </w:t>
      </w:r>
      <w:r>
        <w:t xml:space="preserve">с кодом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используется для корректировки отдельного номера журнала, который создаётся автоматически при регистрации поступления. Основной технологический сценарий для такого документа - ввод оглавления номера.</w:t>
      </w:r>
    </w:p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используются для подшивок и номеров, вошедших в подшивку. Эти коды формируются технологически и не предназначены для ручного выбора при создании нового документа.</w:t>
      </w:r>
    </w:p>
    <w:bookmarkEnd w:id="13"/>
    <w:bookmarkStart w:id="14" w:name="упрощённое-и-музейное-описание"/>
    <w:p>
      <w:pPr>
        <w:pStyle w:val="Heading2"/>
      </w:pPr>
      <w:r>
        <w:t xml:space="preserve">6. Упрощённое и музейное описание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предназначен для упрощённого ввода данных о книге. Он не предполагает полного анализа издания по традиционной методике и не содержит проверки на дублетность по элементам библиографического описания. При этом сохраняется контроль обязательных полей и контроль дублетности шифра издания.</w:t>
      </w:r>
    </w:p>
    <w:p>
      <w:pPr>
        <w:pStyle w:val="BodyText"/>
      </w:pPr>
      <w:r>
        <w:t xml:space="preserve">РЛ</w:t>
      </w:r>
      <w:r>
        <w:t xml:space="preserve"> </w:t>
      </w:r>
      <w:r>
        <w:rPr>
          <w:rStyle w:val="VerbatimChar"/>
        </w:rPr>
        <w:t xml:space="preserve">MUSP</w:t>
      </w:r>
      <w:r>
        <w:t xml:space="preserve"> </w:t>
      </w:r>
      <w:r>
        <w:t xml:space="preserve">используется для описания музейного предмета. Его структура близка к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 но названия и состав полей адаптированы к музейному описанию: предмет, комплект, музейные характеристики, паспортные сведения, экземпляры и технологические данные.</w:t>
      </w:r>
    </w:p>
    <w:bookmarkEnd w:id="14"/>
    <w:bookmarkStart w:id="15" w:name="проверка-актуальности"/>
    <w:p>
      <w:pPr>
        <w:pStyle w:val="Heading2"/>
      </w:pPr>
      <w:r>
        <w:t xml:space="preserve">7. Проверка актуальности</w:t>
      </w:r>
    </w:p>
    <w:p>
      <w:pPr>
        <w:pStyle w:val="FirstParagraph"/>
      </w:pPr>
      <w:r>
        <w:t xml:space="preserve">Список рабочих листов зависит от поставки базы данных и локальных настроек организации. Перед использованием этого раздела как нормативного перечня нужно сверить коды РЛ, состав страниц и доступность вариантов в текущем меню рабочих листов.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Рабочие листы ввода данных</dc:title>
  <dc:creator/>
  <cp:keywords/>
  <dcterms:created xsi:type="dcterms:W3CDTF">2026-08-31T14:04:47Z</dcterms:created>
  <dcterms:modified xsi:type="dcterms:W3CDTF">2026-08-31T14:04:47Z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