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Подготовка выходных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подготовка-выходных-документов"/>
    <w:p>
      <w:pPr>
        <w:pStyle w:val="Heading1"/>
      </w:pPr>
      <w:r>
        <w:t xml:space="preserve">Подготовка выходных документов</w:t>
      </w:r>
    </w:p>
    <w:p>
      <w:pPr>
        <w:pStyle w:val="FirstParagraph"/>
      </w:pPr>
      <w:r>
        <w:t xml:space="preserve">Этот раздел дополняет пользовательский сценарий</w:t>
      </w:r>
      <w:r>
        <w:t xml:space="preserve"> </w:t>
      </w:r>
      <w:hyperlink r:id="rId9">
        <w:r>
          <w:rPr>
            <w:rStyle w:val="Hyperlink"/>
          </w:rPr>
          <w:t xml:space="preserve">вывода записей на печать</w:t>
        </w:r>
      </w:hyperlink>
      <w:r>
        <w:t xml:space="preserve">. Здесь описана методика выбора выходного документа: когда использовать рулонную печать, каталожные карточки, табличные формы, библиографические списки и указатели.</w:t>
      </w:r>
    </w:p>
    <w:bookmarkStart w:id="10" w:name="виды-печати"/>
    <w:p>
      <w:pPr>
        <w:pStyle w:val="Heading2"/>
      </w:pPr>
      <w:r>
        <w:t xml:space="preserve">1. Виды печати</w:t>
      </w:r>
    </w:p>
    <w:p>
      <w:pPr>
        <w:pStyle w:val="FirstParagraph"/>
      </w:pPr>
      <w:r>
        <w:t xml:space="preserve">Каталогизатор может получать выходные документы несколькими способами:</w:t>
      </w:r>
    </w:p>
    <w:p>
      <w:pPr>
        <w:pStyle w:val="Compact"/>
        <w:numPr>
          <w:ilvl w:val="0"/>
          <w:numId w:val="1001"/>
        </w:numPr>
      </w:pPr>
      <w:r>
        <w:t xml:space="preserve">простая печать списком - несортированная последовательность выбранных документов в заданном формате;</w:t>
      </w:r>
    </w:p>
    <w:p>
      <w:pPr>
        <w:pStyle w:val="Compact"/>
        <w:numPr>
          <w:ilvl w:val="0"/>
          <w:numId w:val="1001"/>
        </w:numPr>
      </w:pPr>
      <w:r>
        <w:t xml:space="preserve">индивидуальная печать каталожных карточек;</w:t>
      </w:r>
    </w:p>
    <w:p>
      <w:pPr>
        <w:pStyle w:val="Compact"/>
        <w:numPr>
          <w:ilvl w:val="0"/>
          <w:numId w:val="1001"/>
        </w:numPr>
      </w:pPr>
      <w:r>
        <w:t xml:space="preserve">табличные формы, включая комплекты карточек, библиографические списки, указатели, инвентарные списки и отчётные документы.</w:t>
      </w:r>
    </w:p>
    <w:p>
      <w:pPr>
        <w:pStyle w:val="FirstParagraph"/>
      </w:pPr>
      <w:r>
        <w:t xml:space="preserve">Простая печать подходит для быстрого вывода найденных записей. При выборе оптимизированного формата запись выводится в виде библиографического описания, соответствующего её рабочему листу и виду документа.</w:t>
      </w:r>
    </w:p>
    <w:p>
      <w:pPr>
        <w:pStyle w:val="BodyText"/>
      </w:pPr>
      <w:r>
        <w:t xml:space="preserve">Каталожные карточки можно получать индивидуально для текущей записи или пакетно для группы записей. Индивидуальный режим удобен при завершении ввода или корректировки одной записи, когда нужно сразу проверить и напечатать комплект карточек. Пакетный режим удобен для партии поступлений, отобранных записей или подготовки карточек с учётом тиража.</w:t>
      </w:r>
    </w:p>
    <w:p>
      <w:pPr>
        <w:pStyle w:val="BodyText"/>
      </w:pPr>
      <w:r>
        <w:t xml:space="preserve">Табличные формы используются, когда важны отбор, сортировка и структура документа: инвентарные списки, библиографические указатели, систематические указатели, отчёты о проверке фонда, списки непоступивших номеров журналов и другие формы.</w:t>
      </w:r>
    </w:p>
    <w:bookmarkEnd w:id="10"/>
    <w:bookmarkStart w:id="11" w:name="управление-выводом-данных"/>
    <w:p>
      <w:pPr>
        <w:pStyle w:val="Heading2"/>
      </w:pPr>
      <w:r>
        <w:t xml:space="preserve">2. Управление выводом данных</w:t>
      </w:r>
    </w:p>
    <w:p>
      <w:pPr>
        <w:pStyle w:val="FirstParagraph"/>
      </w:pPr>
      <w:r>
        <w:t xml:space="preserve">Состав выходных документов зависит от данных записи, настроек системы и индивидуальных параметров на странице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. Часть требований можно задать для всех документов через настройку, а часть - для конкретной записи.</w:t>
      </w:r>
    </w:p>
    <w:p>
      <w:pPr>
        <w:pStyle w:val="BodyText"/>
      </w:pPr>
      <w:r>
        <w:t xml:space="preserve">Настраиваются, в частности:</w:t>
      </w:r>
    </w:p>
    <w:p>
      <w:pPr>
        <w:pStyle w:val="Compact"/>
        <w:numPr>
          <w:ilvl w:val="0"/>
          <w:numId w:val="1002"/>
        </w:numPr>
      </w:pPr>
      <w:r>
        <w:t xml:space="preserve">вывод цен в карточках и форматах просмотра;</w:t>
      </w:r>
    </w:p>
    <w:p>
      <w:pPr>
        <w:pStyle w:val="Compact"/>
        <w:numPr>
          <w:ilvl w:val="0"/>
          <w:numId w:val="1002"/>
        </w:numPr>
      </w:pPr>
      <w:r>
        <w:t xml:space="preserve">вывод сведений об экземплярах;</w:t>
      </w:r>
    </w:p>
    <w:p>
      <w:pPr>
        <w:pStyle w:val="Compact"/>
        <w:numPr>
          <w:ilvl w:val="0"/>
          <w:numId w:val="1002"/>
        </w:numPr>
      </w:pPr>
      <w:r>
        <w:t xml:space="preserve">печать инвентарных номеров на лицевой стороне карточки;</w:t>
      </w:r>
    </w:p>
    <w:p>
      <w:pPr>
        <w:pStyle w:val="Compact"/>
        <w:numPr>
          <w:ilvl w:val="0"/>
          <w:numId w:val="1002"/>
        </w:numPr>
      </w:pPr>
      <w:r>
        <w:t xml:space="preserve">вывод шифров мест хранения, отличающихся от основного;</w:t>
      </w:r>
    </w:p>
    <w:p>
      <w:pPr>
        <w:pStyle w:val="Compact"/>
        <w:numPr>
          <w:ilvl w:val="0"/>
          <w:numId w:val="1002"/>
        </w:numPr>
      </w:pPr>
      <w:r>
        <w:t xml:space="preserve">вывод ключевых слов;</w:t>
      </w:r>
    </w:p>
    <w:p>
      <w:pPr>
        <w:pStyle w:val="Compact"/>
        <w:numPr>
          <w:ilvl w:val="0"/>
          <w:numId w:val="1002"/>
        </w:numPr>
      </w:pPr>
      <w:r>
        <w:t xml:space="preserve">вывод аннотации;</w:t>
      </w:r>
    </w:p>
    <w:p>
      <w:pPr>
        <w:pStyle w:val="Compact"/>
        <w:numPr>
          <w:ilvl w:val="0"/>
          <w:numId w:val="1002"/>
        </w:numPr>
      </w:pPr>
      <w:r>
        <w:t xml:space="preserve">способ вывода индексов УДК, ББК, ГРНТИ и других классификаций;</w:t>
      </w:r>
    </w:p>
    <w:p>
      <w:pPr>
        <w:pStyle w:val="Compact"/>
        <w:numPr>
          <w:ilvl w:val="0"/>
          <w:numId w:val="1002"/>
        </w:numPr>
      </w:pPr>
      <w:r>
        <w:t xml:space="preserve">константа для содержания сборника или оглавления номера журнала;</w:t>
      </w:r>
    </w:p>
    <w:p>
      <w:pPr>
        <w:pStyle w:val="Compact"/>
        <w:numPr>
          <w:ilvl w:val="0"/>
          <w:numId w:val="1002"/>
        </w:numPr>
      </w:pPr>
      <w:r>
        <w:t xml:space="preserve">способ вывода общих примечаний;</w:t>
      </w:r>
    </w:p>
    <w:p>
      <w:pPr>
        <w:pStyle w:val="Compact"/>
        <w:numPr>
          <w:ilvl w:val="0"/>
          <w:numId w:val="1002"/>
        </w:numPr>
      </w:pPr>
      <w:r>
        <w:t xml:space="preserve">вывод сведений к заглавию в формуляре;</w:t>
      </w:r>
    </w:p>
    <w:p>
      <w:pPr>
        <w:pStyle w:val="Compact"/>
        <w:numPr>
          <w:ilvl w:val="0"/>
          <w:numId w:val="1002"/>
        </w:numPr>
      </w:pPr>
      <w:r>
        <w:t xml:space="preserve">укороченный вывод добавочных карточек.</w:t>
      </w:r>
    </w:p>
    <w:p>
      <w:pPr>
        <w:pStyle w:val="FirstParagraph"/>
      </w:pPr>
      <w:r>
        <w:t xml:space="preserve">Если в выходном макете обнаружена ошибка в библиографических данных, её нужно исправлять в записи электронного каталога, а не только в сформированном документе. Исправления в текстовом редакторе изменяют только текущий макет и не возвращаются в базу.</w:t>
      </w:r>
    </w:p>
    <w:bookmarkEnd w:id="11"/>
    <w:bookmarkStart w:id="12" w:name="основные-форматы-просмотра-и-печати"/>
    <w:p>
      <w:pPr>
        <w:pStyle w:val="Heading2"/>
      </w:pPr>
      <w:r>
        <w:t xml:space="preserve">3. Основные форматы просмотра и печати</w:t>
      </w:r>
    </w:p>
    <w:p>
      <w:pPr>
        <w:pStyle w:val="FirstParagraph"/>
      </w:pPr>
      <w:r>
        <w:t xml:space="preserve">Для разных видов записей используются разные оптимизированные форматы.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KN_H</w:t>
            </w:r>
          </w:p>
        </w:tc>
        <w:tc>
          <w:tcPr/>
          <w:p>
            <w:pPr>
              <w:pStyle w:val="Compact"/>
            </w:pPr>
            <w:r>
              <w:t xml:space="preserve">Библиографическое описание книги, включая содержание, аннотацию, внешние объекты и сведения об экземплярах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MN_H</w:t>
            </w:r>
          </w:p>
        </w:tc>
        <w:tc>
          <w:tcPr/>
          <w:p>
            <w:pPr>
              <w:pStyle w:val="Compact"/>
            </w:pPr>
            <w:r>
              <w:t xml:space="preserve">Описание тома многотомного издания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ASP_H</w:t>
            </w:r>
          </w:p>
        </w:tc>
        <w:tc>
          <w:tcPr/>
          <w:p>
            <w:pPr>
              <w:pStyle w:val="Compact"/>
            </w:pPr>
            <w:r>
              <w:t xml:space="preserve">Аналитическое описание статьи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IBISKW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IBISKW_H</w:t>
            </w:r>
          </w:p>
        </w:tc>
        <w:tc>
          <w:tcPr/>
          <w:p>
            <w:pPr>
              <w:pStyle w:val="Compact"/>
            </w:pPr>
            <w:r>
              <w:t xml:space="preserve">Описание с дополнительным выводом списанных экземпляров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PERSW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PERSW_H</w:t>
            </w:r>
          </w:p>
        </w:tc>
        <w:tc>
          <w:tcPr/>
          <w:p>
            <w:pPr>
              <w:pStyle w:val="Compact"/>
            </w:pPr>
            <w:r>
              <w:t xml:space="preserve">Описание с полными сведениями о персоналиях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JW_H</w:t>
            </w:r>
          </w:p>
        </w:tc>
        <w:tc>
          <w:tcPr/>
          <w:p>
            <w:pPr>
              <w:pStyle w:val="Compact"/>
            </w:pPr>
            <w:r>
              <w:t xml:space="preserve">Сводное описание журнала или другого сериального издания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NJW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NJW_H</w:t>
            </w:r>
          </w:p>
        </w:tc>
        <w:tc>
          <w:tcPr/>
          <w:p>
            <w:pPr>
              <w:pStyle w:val="Compact"/>
            </w:pPr>
            <w:r>
              <w:t xml:space="preserve">Описание отдельного номера или выпуска журнала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NJTPW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NJTPW_H</w:t>
            </w:r>
          </w:p>
        </w:tc>
        <w:tc>
          <w:tcPr/>
          <w:p>
            <w:pPr>
              <w:pStyle w:val="Compact"/>
            </w:pPr>
            <w:r>
              <w:t xml:space="preserve">Описание номера журнала с технологическими данными и списанными экземплярами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INFOW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INFOW_H</w:t>
            </w:r>
          </w:p>
        </w:tc>
        <w:tc>
          <w:tcPr/>
          <w:p>
            <w:pPr>
              <w:pStyle w:val="Compact"/>
            </w:pPr>
            <w:r>
              <w:t xml:space="preserve">Техническое представление вида</w:t>
            </w:r>
            <w:r>
              <w:t xml:space="preserve"> </w:t>
            </w:r>
            <w:r>
              <w:rPr>
                <w:rStyle w:val="VerbatimChar"/>
              </w:rPr>
              <w:t xml:space="preserve">элемент данных - 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UMARCW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USMRCW</w:t>
            </w:r>
          </w:p>
        </w:tc>
        <w:tc>
          <w:tcPr/>
          <w:p>
            <w:pPr>
              <w:pStyle w:val="Compact"/>
            </w:pPr>
            <w:r>
              <w:t xml:space="preserve">Представление в коммуникативных форматах с метками полей и подполей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KKKWP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KKKWP_H</w:t>
            </w:r>
          </w:p>
        </w:tc>
        <w:tc>
          <w:tcPr/>
          <w:p>
            <w:pPr>
              <w:pStyle w:val="Compact"/>
            </w:pPr>
            <w:r>
              <w:t xml:space="preserve">Контрольный просмотр комплекта каталожных карточек</w:t>
            </w:r>
          </w:p>
        </w:tc>
      </w:tr>
    </w:tbl>
    <w:p>
      <w:pPr>
        <w:pStyle w:val="BodyText"/>
      </w:pPr>
      <w:r>
        <w:t xml:space="preserve">Перед печатью каталожных карточек рекомендуется просмотреть запись в формате</w:t>
      </w:r>
      <w:r>
        <w:t xml:space="preserve"> </w:t>
      </w:r>
      <w:r>
        <w:rPr>
          <w:rStyle w:val="VerbatimChar"/>
        </w:rPr>
        <w:t xml:space="preserve">KKKWP</w:t>
      </w:r>
      <w:r>
        <w:t xml:space="preserve">. Это помогает заранее увидеть, какие основные, добавочные и ссылочные карточки будут сформированы.</w:t>
      </w:r>
    </w:p>
    <w:bookmarkEnd w:id="12"/>
    <w:bookmarkStart w:id="13" w:name="X06035174598300ff7c2ff66ead747ee2d40c890"/>
    <w:p>
      <w:pPr>
        <w:pStyle w:val="Heading2"/>
      </w:pPr>
      <w:r>
        <w:t xml:space="preserve">4. Индивидуальная печать каталожных карточек</w:t>
      </w:r>
    </w:p>
    <w:p>
      <w:pPr>
        <w:pStyle w:val="FirstParagraph"/>
      </w:pPr>
      <w:r>
        <w:t xml:space="preserve">Индивидуальная печать карточек выполняется для текущего документа после ввода или корректировки. Основная карточка формируется первой и безусловно. Остальные виды карточек формируются по выбранному виду карточки и по данным записи.</w:t>
      </w:r>
    </w:p>
    <w:p>
      <w:pPr>
        <w:pStyle w:val="BodyText"/>
      </w:pPr>
      <w:r>
        <w:t xml:space="preserve">В индивидуальном режиме можно получить:</w:t>
      </w:r>
    </w:p>
    <w:p>
      <w:pPr>
        <w:pStyle w:val="Compact"/>
        <w:numPr>
          <w:ilvl w:val="0"/>
          <w:numId w:val="1003"/>
        </w:numPr>
      </w:pPr>
      <w:r>
        <w:t xml:space="preserve">основную карточку;</w:t>
      </w:r>
    </w:p>
    <w:p>
      <w:pPr>
        <w:pStyle w:val="Compact"/>
        <w:numPr>
          <w:ilvl w:val="0"/>
          <w:numId w:val="1003"/>
        </w:numPr>
      </w:pPr>
      <w:r>
        <w:t xml:space="preserve">карточку оборота;</w:t>
      </w:r>
    </w:p>
    <w:p>
      <w:pPr>
        <w:pStyle w:val="Compact"/>
        <w:numPr>
          <w:ilvl w:val="0"/>
          <w:numId w:val="1003"/>
        </w:numPr>
      </w:pPr>
      <w:r>
        <w:t xml:space="preserve">добавочные карточки;</w:t>
      </w:r>
    </w:p>
    <w:p>
      <w:pPr>
        <w:pStyle w:val="Compact"/>
        <w:numPr>
          <w:ilvl w:val="0"/>
          <w:numId w:val="1003"/>
        </w:numPr>
      </w:pPr>
      <w:r>
        <w:t xml:space="preserve">ссылочные карточки;</w:t>
      </w:r>
    </w:p>
    <w:p>
      <w:pPr>
        <w:pStyle w:val="Compact"/>
        <w:numPr>
          <w:ilvl w:val="0"/>
          <w:numId w:val="1003"/>
        </w:numPr>
      </w:pPr>
      <w:r>
        <w:t xml:space="preserve">карточки для систематического каталога;</w:t>
      </w:r>
    </w:p>
    <w:p>
      <w:pPr>
        <w:pStyle w:val="Compact"/>
        <w:numPr>
          <w:ilvl w:val="0"/>
          <w:numId w:val="1003"/>
        </w:numPr>
      </w:pPr>
      <w:r>
        <w:t xml:space="preserve">карточки для топографического каталога;</w:t>
      </w:r>
    </w:p>
    <w:p>
      <w:pPr>
        <w:pStyle w:val="Compact"/>
        <w:numPr>
          <w:ilvl w:val="0"/>
          <w:numId w:val="1003"/>
        </w:numPr>
      </w:pPr>
      <w:r>
        <w:t xml:space="preserve">карточки продолжения.</w:t>
      </w:r>
    </w:p>
    <w:p>
      <w:pPr>
        <w:pStyle w:val="FirstParagraph"/>
      </w:pPr>
      <w:r>
        <w:t xml:space="preserve">Если для выбранного вида карточки нет данных, макет может быть пустым. Например, добавочная или ссылочная карточка формируется только при наличии соответствующих данных и признаков в записи.</w:t>
      </w:r>
    </w:p>
    <w:p>
      <w:pPr>
        <w:pStyle w:val="BodyText"/>
      </w:pPr>
      <w:r>
        <w:t xml:space="preserve">Макет карточки можно отредактировать перед печатью средствами текстового редактора: изменить текст, расположение элементов, шрифт, стиль, размеры карточки и поля. Такие изменения относятся только к сформированному макету.</w:t>
      </w:r>
    </w:p>
    <w:bookmarkEnd w:id="13"/>
    <w:bookmarkStart w:id="14" w:name="комплект-каталожных-карточек"/>
    <w:p>
      <w:pPr>
        <w:pStyle w:val="Heading2"/>
      </w:pPr>
      <w:r>
        <w:t xml:space="preserve">5. Комплект каталожных карточек</w:t>
      </w:r>
    </w:p>
    <w:p>
      <w:pPr>
        <w:pStyle w:val="FirstParagraph"/>
      </w:pPr>
      <w:r>
        <w:t xml:space="preserve">Комплект карточек для одной записи обычно включает:</w:t>
      </w:r>
    </w:p>
    <w:p>
      <w:pPr>
        <w:pStyle w:val="Compact"/>
        <w:numPr>
          <w:ilvl w:val="0"/>
          <w:numId w:val="1004"/>
        </w:numPr>
      </w:pPr>
      <w:r>
        <w:t xml:space="preserve">одну основную карточку и одну карточку оборота;</w:t>
      </w:r>
    </w:p>
    <w:p>
      <w:pPr>
        <w:pStyle w:val="Compact"/>
        <w:numPr>
          <w:ilvl w:val="0"/>
          <w:numId w:val="1004"/>
        </w:numPr>
      </w:pPr>
      <w:r>
        <w:t xml:space="preserve">карточки для топографического каталога по местам хранения;</w:t>
      </w:r>
    </w:p>
    <w:p>
      <w:pPr>
        <w:pStyle w:val="Compact"/>
        <w:numPr>
          <w:ilvl w:val="0"/>
          <w:numId w:val="1004"/>
        </w:numPr>
      </w:pPr>
      <w:r>
        <w:t xml:space="preserve">книжные формуляры по местам хранения;</w:t>
      </w:r>
    </w:p>
    <w:p>
      <w:pPr>
        <w:pStyle w:val="Compact"/>
        <w:numPr>
          <w:ilvl w:val="0"/>
          <w:numId w:val="1004"/>
        </w:numPr>
      </w:pPr>
      <w:r>
        <w:t xml:space="preserve">карточки для систематического каталога по классификационным индексам;</w:t>
      </w:r>
    </w:p>
    <w:p>
      <w:pPr>
        <w:pStyle w:val="Compact"/>
        <w:numPr>
          <w:ilvl w:val="0"/>
          <w:numId w:val="1004"/>
        </w:numPr>
      </w:pPr>
      <w:r>
        <w:t xml:space="preserve">добавочные карточки, если они требуются;</w:t>
      </w:r>
    </w:p>
    <w:p>
      <w:pPr>
        <w:pStyle w:val="Compact"/>
        <w:numPr>
          <w:ilvl w:val="0"/>
          <w:numId w:val="1004"/>
        </w:numPr>
      </w:pPr>
      <w:r>
        <w:t xml:space="preserve">ссылочные карточки, если они требуются.</w:t>
      </w:r>
    </w:p>
    <w:p>
      <w:pPr>
        <w:pStyle w:val="FirstParagraph"/>
      </w:pPr>
      <w:r>
        <w:t xml:space="preserve">Добавочные карточки могут формироваться автоматически для источника переводного издания, последующих статей сборника и дополнительных заголовков. Для других лиц, коллективов, персоналий, заглавий, серий, разночтений, параллельных заглавий и рубрик подготовка карточек зависит от введённых в записи ролей и признаков.</w:t>
      </w:r>
    </w:p>
    <w:bookmarkEnd w:id="14"/>
    <w:bookmarkStart w:id="15" w:name="табличные-формы"/>
    <w:p>
      <w:pPr>
        <w:pStyle w:val="Heading2"/>
      </w:pPr>
      <w:r>
        <w:t xml:space="preserve">6. Табличные формы</w:t>
      </w:r>
    </w:p>
    <w:p>
      <w:pPr>
        <w:pStyle w:val="FirstParagraph"/>
      </w:pPr>
      <w:r>
        <w:t xml:space="preserve">Табличные формы формируются по диапазону MFN или по результатам поиска. Для выходного документа выбирается имя формы, носитель вывода и при необходимости заголовки. Результат формируется как документ</w:t>
      </w:r>
      <w:r>
        <w:t xml:space="preserve"> </w:t>
      </w:r>
      <w:r>
        <w:rPr>
          <w:rStyle w:val="VerbatimChar"/>
        </w:rPr>
        <w:t xml:space="preserve">RTF</w:t>
      </w:r>
      <w:r>
        <w:t xml:space="preserve">, который можно открыть и при необходимости доработать в текстовом редакторе.</w:t>
      </w:r>
    </w:p>
    <w:p>
      <w:pPr>
        <w:pStyle w:val="BodyText"/>
      </w:pPr>
      <w:r>
        <w:t xml:space="preserve">Для отбора записей часто используются:</w:t>
      </w:r>
    </w:p>
    <w:p>
      <w:pPr>
        <w:pStyle w:val="Compact"/>
        <w:numPr>
          <w:ilvl w:val="0"/>
          <w:numId w:val="1005"/>
        </w:numPr>
      </w:pPr>
      <w:r>
        <w:t xml:space="preserve">дата поступления, если нужно получить список поступлений за период;</w:t>
      </w:r>
    </w:p>
    <w:p>
      <w:pPr>
        <w:pStyle w:val="Compact"/>
        <w:numPr>
          <w:ilvl w:val="0"/>
          <w:numId w:val="1005"/>
        </w:numPr>
      </w:pPr>
      <w:r>
        <w:t xml:space="preserve">номер КСУ, если нужно получить документы по партии;</w:t>
      </w:r>
    </w:p>
    <w:p>
      <w:pPr>
        <w:pStyle w:val="Compact"/>
        <w:numPr>
          <w:ilvl w:val="0"/>
          <w:numId w:val="1005"/>
        </w:numPr>
      </w:pPr>
      <w:r>
        <w:t xml:space="preserve">термины словаря</w:t>
      </w:r>
      <w:r>
        <w:t xml:space="preserve"> </w:t>
      </w:r>
      <w:r>
        <w:rPr>
          <w:rStyle w:val="VerbatimChar"/>
        </w:rPr>
        <w:t xml:space="preserve">Проверка фонда</w:t>
      </w:r>
      <w:r>
        <w:t xml:space="preserve">, если формируются документы по результатам проверки фонда;</w:t>
      </w:r>
    </w:p>
    <w:p>
      <w:pPr>
        <w:pStyle w:val="Compact"/>
        <w:numPr>
          <w:ilvl w:val="0"/>
          <w:numId w:val="1005"/>
        </w:numPr>
      </w:pPr>
      <w:r>
        <w:t xml:space="preserve">поисковые признаки автора, заглавия, предметной рубрики, индекса или места хранения.</w:t>
      </w:r>
    </w:p>
    <w:bookmarkEnd w:id="15"/>
    <w:bookmarkStart w:id="16" w:name="библиографические-списки-и-указатели"/>
    <w:p>
      <w:pPr>
        <w:pStyle w:val="Heading2"/>
      </w:pPr>
      <w:r>
        <w:t xml:space="preserve">7. Библиографические списки и указатели</w:t>
      </w:r>
    </w:p>
    <w:p>
      <w:pPr>
        <w:pStyle w:val="FirstParagraph"/>
      </w:pPr>
      <w:r>
        <w:t xml:space="preserve">Библиографические списки и указатели строятся не только по отбору записей, но и по правилам сортировки.</w:t>
      </w:r>
    </w:p>
    <w:p>
      <w:pPr>
        <w:pStyle w:val="BodyText"/>
      </w:pPr>
      <w:r>
        <w:t xml:space="preserve">Основные формы: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Сортировка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TABBUW</w:t>
            </w:r>
          </w:p>
        </w:tc>
        <w:tc>
          <w:tcPr/>
          <w:p>
            <w:pPr>
              <w:pStyle w:val="Compact"/>
            </w:pPr>
            <w:r>
              <w:t xml:space="preserve">Библиографический указатель по предметным рубрикам</w:t>
            </w:r>
          </w:p>
        </w:tc>
        <w:tc>
          <w:tcPr/>
          <w:p>
            <w:pPr>
              <w:pStyle w:val="Compact"/>
            </w:pPr>
            <w:r>
              <w:t xml:space="preserve">Первая предметная рубрика, затем автор или заглавие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TABBAW</w:t>
            </w:r>
          </w:p>
        </w:tc>
        <w:tc>
          <w:tcPr/>
          <w:p>
            <w:pPr>
              <w:pStyle w:val="Compact"/>
            </w:pPr>
            <w:r>
              <w:t xml:space="preserve">Библиографический указатель по автору и/или заглавию</w:t>
            </w:r>
          </w:p>
        </w:tc>
        <w:tc>
          <w:tcPr/>
          <w:p>
            <w:pPr>
              <w:pStyle w:val="Compact"/>
            </w:pPr>
            <w:r>
              <w:t xml:space="preserve">Автор или коллектив, заглавие, номер тома, источник статьи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TABBNW</w:t>
            </w:r>
          </w:p>
        </w:tc>
        <w:tc>
          <w:tcPr/>
          <w:p>
            <w:pPr>
              <w:pStyle w:val="Compact"/>
            </w:pPr>
            <w:r>
              <w:t xml:space="preserve">Указатель новых поступлений</w:t>
            </w:r>
          </w:p>
        </w:tc>
        <w:tc>
          <w:tcPr/>
          <w:p>
            <w:pPr>
              <w:pStyle w:val="Compact"/>
            </w:pPr>
            <w:r>
              <w:t xml:space="preserve">Автор или коллектив, заглавие, номер тома, источник статьи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TABSUW</w:t>
            </w:r>
          </w:p>
        </w:tc>
        <w:tc>
          <w:tcPr/>
          <w:p>
            <w:pPr>
              <w:pStyle w:val="Compact"/>
            </w:pPr>
            <w:r>
              <w:t xml:space="preserve">Систематический указатель по всем индексам, включая статьи из оглавления</w:t>
            </w:r>
          </w:p>
        </w:tc>
        <w:tc>
          <w:tcPr/>
          <w:p>
            <w:pPr>
              <w:pStyle w:val="Compact"/>
            </w:pPr>
            <w:r>
              <w:t xml:space="preserve">Все издательские индексы, затем автор или заглавие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TABSU0</w:t>
            </w:r>
          </w:p>
        </w:tc>
        <w:tc>
          <w:tcPr/>
          <w:p>
            <w:pPr>
              <w:pStyle w:val="Compact"/>
            </w:pPr>
            <w:r>
              <w:t xml:space="preserve">Систематический указатель только по основным записям со ссылками и указателями</w:t>
            </w:r>
          </w:p>
        </w:tc>
        <w:tc>
          <w:tcPr/>
          <w:p>
            <w:pPr>
              <w:pStyle w:val="Compact"/>
            </w:pPr>
            <w:r>
              <w:t xml:space="preserve">Все издательские индексы, затем автор или заглавие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TABSU0P</w:t>
            </w:r>
          </w:p>
        </w:tc>
        <w:tc>
          <w:tcPr/>
          <w:p>
            <w:pPr>
              <w:pStyle w:val="Compact"/>
            </w:pPr>
            <w:r>
              <w:t xml:space="preserve">Вариант систематического указателя с персоналиями</w:t>
            </w:r>
          </w:p>
        </w:tc>
        <w:tc>
          <w:tcPr/>
          <w:p>
            <w:pPr>
              <w:pStyle w:val="Compact"/>
            </w:pPr>
            <w:r>
              <w:t xml:space="preserve">Индексы, персоналии, автор или заглавие</w:t>
            </w:r>
          </w:p>
        </w:tc>
      </w:tr>
    </w:tbl>
    <w:p>
      <w:pPr>
        <w:pStyle w:val="BodyText"/>
      </w:pPr>
      <w:r>
        <w:t xml:space="preserve">Для систематических указателей должны быть подготовлены справочники индексов: иерархический справочник ввода и справочник вывода. Иерархический справочник помогает систематизатору выбрать индекс, а справочник вывода задаёт текст расшифровки в выходной форме и словаре.</w:t>
      </w:r>
    </w:p>
    <w:p>
      <w:pPr>
        <w:pStyle w:val="BodyText"/>
      </w:pPr>
      <w:r>
        <w:t xml:space="preserve">Сортировка указателей учитывает разметку заглавия: можно исключать фрагмент из ключа сортировки или заменять часть текста другим значением, например для числительных.</w:t>
      </w:r>
    </w:p>
    <w:bookmarkEnd w:id="16"/>
    <w:bookmarkStart w:id="17" w:name="пакетная-печать-карточек"/>
    <w:p>
      <w:pPr>
        <w:pStyle w:val="Heading2"/>
      </w:pPr>
      <w:r>
        <w:t xml:space="preserve">8. Пакетная печать карточек</w:t>
      </w:r>
    </w:p>
    <w:p>
      <w:pPr>
        <w:pStyle w:val="FirstParagraph"/>
      </w:pPr>
      <w:r>
        <w:t xml:space="preserve">В пакетном режиме карточки можно получить для одной или нескольких записей. Система подбирает комплект карточек для каждой записи.</w:t>
      </w:r>
    </w:p>
    <w:p>
      <w:pPr>
        <w:pStyle w:val="BodyText"/>
      </w:pPr>
      <w:r>
        <w:t xml:space="preserve">Доступны формы: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!!KK_K</w:t>
            </w:r>
          </w:p>
        </w:tc>
        <w:tc>
          <w:tcPr/>
          <w:p>
            <w:pPr>
              <w:pStyle w:val="Compact"/>
            </w:pPr>
            <w:r>
              <w:t xml:space="preserve">Комплект карточек: основная, добавочные, ссылочные, систематический и топографический каталоги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!!KK_O</w:t>
            </w:r>
          </w:p>
        </w:tc>
        <w:tc>
          <w:tcPr/>
          <w:p>
            <w:pPr>
              <w:pStyle w:val="Compact"/>
            </w:pPr>
            <w:r>
              <w:t xml:space="preserve">Основная карточка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!!KK_D</w:t>
            </w:r>
          </w:p>
        </w:tc>
        <w:tc>
          <w:tcPr/>
          <w:p>
            <w:pPr>
              <w:pStyle w:val="Compact"/>
            </w:pPr>
            <w:r>
              <w:t xml:space="preserve">Комплект добавочных карточек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!!KK_S</w:t>
            </w:r>
          </w:p>
        </w:tc>
        <w:tc>
          <w:tcPr/>
          <w:p>
            <w:pPr>
              <w:pStyle w:val="Compact"/>
            </w:pPr>
            <w:r>
              <w:t xml:space="preserve">Ссылочные карточки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!!KK_Sk</w:t>
            </w:r>
          </w:p>
        </w:tc>
        <w:tc>
          <w:tcPr/>
          <w:p>
            <w:pPr>
              <w:pStyle w:val="Compact"/>
            </w:pPr>
            <w:r>
              <w:t xml:space="preserve">Карточки для систематического каталога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!!KK_Tk</w:t>
            </w:r>
          </w:p>
        </w:tc>
        <w:tc>
          <w:tcPr/>
          <w:p>
            <w:pPr>
              <w:pStyle w:val="Compact"/>
            </w:pPr>
            <w:r>
              <w:t xml:space="preserve">Карточки для топографического каталога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!!KK_ob</w:t>
            </w:r>
          </w:p>
        </w:tc>
        <w:tc>
          <w:tcPr/>
          <w:p>
            <w:pPr>
              <w:pStyle w:val="Compact"/>
            </w:pPr>
            <w:r>
              <w:t xml:space="preserve">Оборот основной карточки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!!KK_obmh</w:t>
            </w:r>
          </w:p>
        </w:tc>
        <w:tc>
          <w:tcPr/>
          <w:p>
            <w:pPr>
              <w:pStyle w:val="Compact"/>
            </w:pPr>
            <w:r>
              <w:t xml:space="preserve">Оборот основной карточки по месту хранения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!!KKF</w:t>
            </w:r>
          </w:p>
        </w:tc>
        <w:tc>
          <w:tcPr/>
          <w:p>
            <w:pPr>
              <w:pStyle w:val="Compact"/>
            </w:pPr>
            <w:r>
              <w:t xml:space="preserve">Формуляры для книг и периодических изданий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!!KK</w:t>
            </w:r>
          </w:p>
        </w:tc>
        <w:tc>
          <w:tcPr/>
          <w:p>
            <w:pPr>
              <w:pStyle w:val="Compact"/>
            </w:pPr>
            <w:r>
              <w:t xml:space="preserve">Устаревший вариант комплекта карточек</w:t>
            </w:r>
          </w:p>
        </w:tc>
      </w:tr>
    </w:tbl>
    <w:p>
      <w:pPr>
        <w:pStyle w:val="BodyText"/>
      </w:pPr>
      <w:r>
        <w:t xml:space="preserve">В пакетном режиме не формируются карточки продолжения. Зато можно учитывать тираж карточек. Тираж основных карточек определяется местами хранения, тираж добавочных - числом добавочных карточек и мест хранения, тираж карточек для систематического каталога - числом классификационных индексов. Для ссылочных карточек, топографического каталога, формуляров и оборотов тираж обычно не применяется.</w:t>
      </w:r>
    </w:p>
    <w:p>
      <w:pPr>
        <w:pStyle w:val="BodyText"/>
      </w:pPr>
      <w:r>
        <w:t xml:space="preserve">Если требуется особый тираж по месту хранения, используются справочники</w:t>
      </w:r>
      <w:r>
        <w:t xml:space="preserve"> </w:t>
      </w:r>
      <w:r>
        <w:rPr>
          <w:rStyle w:val="VerbatimChar"/>
        </w:rPr>
        <w:t xml:space="preserve">Mhr_tirajO.mnu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Mhr_tirajD.mnu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Mhr_tirajS.mnu</w:t>
      </w:r>
      <w:r>
        <w:t xml:space="preserve"> </w:t>
      </w:r>
      <w:r>
        <w:t xml:space="preserve">либо индивидуальная настройка в поле</w:t>
      </w:r>
      <w:r>
        <w:t xml:space="preserve"> </w:t>
      </w:r>
      <w:r>
        <w:rPr>
          <w:rStyle w:val="VerbatimChar"/>
        </w:rPr>
        <w:t xml:space="preserve">905</w:t>
      </w:r>
      <w:r>
        <w:t xml:space="preserve">.</w:t>
      </w:r>
    </w:p>
    <w:bookmarkEnd w:id="17"/>
    <w:bookmarkStart w:id="18" w:name="инвентарные-и-отчётные-формы"/>
    <w:p>
      <w:pPr>
        <w:pStyle w:val="Heading2"/>
      </w:pPr>
      <w:r>
        <w:t xml:space="preserve">9. Инвентарные и отчётные формы</w:t>
      </w:r>
    </w:p>
    <w:p>
      <w:pPr>
        <w:pStyle w:val="FirstParagraph"/>
      </w:pPr>
      <w:r>
        <w:t xml:space="preserve">Инвентарные списки делятся по назначению: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TABINW</w:t>
      </w:r>
      <w:r>
        <w:t xml:space="preserve"> </w:t>
      </w:r>
      <w:r>
        <w:t xml:space="preserve">- новые поступления, индивидуальный учёт;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TABIUW</w:t>
      </w:r>
      <w:r>
        <w:t xml:space="preserve"> </w:t>
      </w:r>
      <w:r>
        <w:t xml:space="preserve">- новые поступления, общий учёт;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TAB4BW</w:t>
      </w:r>
      <w:r>
        <w:t xml:space="preserve"> </w:t>
      </w:r>
      <w:r>
        <w:t xml:space="preserve">- сквозная сортировка, индивидуальный учёт;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TAB4OW</w:t>
      </w:r>
      <w:r>
        <w:t xml:space="preserve"> </w:t>
      </w:r>
      <w:r>
        <w:t xml:space="preserve">- сквозная сортировка, общий учёт.</w:t>
      </w:r>
    </w:p>
    <w:p>
      <w:pPr>
        <w:pStyle w:val="FirstParagraph"/>
      </w:pPr>
      <w:r>
        <w:t xml:space="preserve">Если стандартная форма содержит лишние столбцы для конкретной организации, их можно удалить в готовом документе или подготовить собственный формат.</w:t>
      </w:r>
    </w:p>
    <w:p>
      <w:pPr>
        <w:pStyle w:val="BodyText"/>
      </w:pPr>
      <w:r>
        <w:t xml:space="preserve">Другие полезные формы: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TNNJW</w:t>
            </w:r>
          </w:p>
        </w:tc>
        <w:tc>
          <w:tcPr/>
          <w:p>
            <w:pPr>
              <w:pStyle w:val="Compact"/>
            </w:pPr>
            <w:r>
              <w:t xml:space="preserve">Непоступившие номера журналов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TABF1W</w:t>
            </w:r>
          </w:p>
        </w:tc>
        <w:tc>
          <w:tcPr/>
          <w:p>
            <w:pPr>
              <w:pStyle w:val="Compact"/>
            </w:pPr>
            <w:r>
              <w:t xml:space="preserve">Справка о поступлении книг в библиотеку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TABF3W</w:t>
            </w:r>
          </w:p>
        </w:tc>
        <w:tc>
          <w:tcPr/>
          <w:p>
            <w:pPr>
              <w:pStyle w:val="Compact"/>
            </w:pPr>
            <w:r>
              <w:t xml:space="preserve">Лист актового учёта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LAND</w:t>
            </w:r>
          </w:p>
        </w:tc>
        <w:tc>
          <w:tcPr/>
          <w:p>
            <w:pPr>
              <w:pStyle w:val="Compact"/>
            </w:pPr>
            <w:r>
              <w:t xml:space="preserve">Спрашиваемость литературы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AVTS</w:t>
            </w:r>
          </w:p>
        </w:tc>
        <w:tc>
          <w:tcPr/>
          <w:p>
            <w:pPr>
              <w:pStyle w:val="Compact"/>
            </w:pPr>
            <w:r>
              <w:t xml:space="preserve">Труды авторов по месту работы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COLL</w:t>
            </w:r>
          </w:p>
        </w:tc>
        <w:tc>
          <w:tcPr/>
          <w:p>
            <w:pPr>
              <w:pStyle w:val="Compact"/>
            </w:pPr>
            <w:r>
              <w:t xml:space="preserve">Опись музейных коллекций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TPRFA</w:t>
            </w:r>
          </w:p>
        </w:tc>
        <w:tc>
          <w:tcPr/>
          <w:p>
            <w:pPr>
              <w:pStyle w:val="Compact"/>
            </w:pPr>
            <w:r>
              <w:t xml:space="preserve">Акт проверки фонда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TPRFI</w:t>
            </w:r>
          </w:p>
        </w:tc>
        <w:tc>
          <w:tcPr/>
          <w:p>
            <w:pPr>
              <w:pStyle w:val="Compact"/>
            </w:pPr>
            <w:r>
              <w:t xml:space="preserve">Инвентарный список проверки фонда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TPRFSH</w:t>
            </w:r>
          </w:p>
        </w:tc>
        <w:tc>
          <w:tcPr/>
          <w:p>
            <w:pPr>
              <w:pStyle w:val="Compact"/>
            </w:pPr>
            <w:r>
              <w:t xml:space="preserve">Список штрих-кодов проверки фонда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TNPRSH</w:t>
            </w:r>
          </w:p>
        </w:tc>
        <w:tc>
          <w:tcPr/>
          <w:p>
            <w:pPr>
              <w:pStyle w:val="Compact"/>
            </w:pPr>
            <w:r>
              <w:t xml:space="preserve">Список непроверенных штрих-кодов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INV_PROVF</w:t>
            </w:r>
          </w:p>
        </w:tc>
        <w:tc>
          <w:tcPr/>
          <w:p>
            <w:pPr>
              <w:pStyle w:val="Compact"/>
            </w:pPr>
            <w:r>
              <w:t xml:space="preserve">Список инвентарных номеров или штрих-кодов для групповой проверки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Brief_Tab</w:t>
            </w:r>
          </w:p>
        </w:tc>
        <w:tc>
          <w:tcPr/>
          <w:p>
            <w:pPr>
              <w:pStyle w:val="Compact"/>
            </w:pPr>
            <w:r>
              <w:t xml:space="preserve">Список документов, сортированный по заголовку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Brdat_Tab</w:t>
            </w:r>
          </w:p>
        </w:tc>
        <w:tc>
          <w:tcPr/>
          <w:p>
            <w:pPr>
              <w:pStyle w:val="Compact"/>
            </w:pPr>
            <w:r>
              <w:t xml:space="preserve">Список документов, сортированный по дате ввода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Bryear_Tab</w:t>
            </w:r>
          </w:p>
        </w:tc>
        <w:tc>
          <w:tcPr/>
          <w:p>
            <w:pPr>
              <w:pStyle w:val="Compact"/>
            </w:pPr>
            <w:r>
              <w:t xml:space="preserve">Список документов, сортированный по году выхода</w:t>
            </w:r>
          </w:p>
        </w:tc>
      </w:tr>
    </w:tbl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Cataloguer/Help/CataloguerGuide/PrintRecord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Cataloguer/Help/CataloguerGuide/PrintRecord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Подготовка выходных документов</dc:title>
  <dc:creator/>
  <cp:keywords/>
  <dcterms:created xsi:type="dcterms:W3CDTF">2026-08-31T14:04:49Z</dcterms:created>
  <dcterms:modified xsi:type="dcterms:W3CDTF">2026-08-31T14:04:49Z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