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Авторитетные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авторитетные-базы-данных"/>
    <w:p>
      <w:pPr>
        <w:pStyle w:val="Heading1"/>
      </w:pPr>
      <w:r>
        <w:t xml:space="preserve">Авторитетные базы данных</w:t>
      </w:r>
    </w:p>
    <w:p>
      <w:pPr>
        <w:pStyle w:val="FirstParagraph"/>
      </w:pPr>
      <w:r>
        <w:t xml:space="preserve">Авторитетные базы используются для нормированного ввода авторов, коллективов, предметных рубрик, классификационных индексов и географических названий в электронный каталог. Они помогают выбирать уже принятые формы заголовков, хранить вариантные формы и поддерживать связи между библиографическими и авторитетными записями.</w:t>
      </w:r>
    </w:p>
    <w:p>
      <w:pPr>
        <w:pStyle w:val="BodyText"/>
      </w:pPr>
      <w:r>
        <w:t xml:space="preserve">В текущей поставке и настройках системы используются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. Их имена задаются системными параметрами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; в типовой поставке эти параметры указывают на одноимённые базы.</w:t>
      </w:r>
    </w:p>
    <w:p>
      <w:pPr>
        <w:pStyle w:val="BodyText"/>
      </w:pPr>
      <w:r>
        <w:t xml:space="preserve">Авторитетные базы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при вводе данных в электронный каталог через поля, поддерживающие обращение к авторитетной записи;</w:t>
      </w:r>
    </w:p>
    <w:p>
      <w:pPr>
        <w:pStyle w:val="Compact"/>
        <w:numPr>
          <w:ilvl w:val="0"/>
          <w:numId w:val="1001"/>
        </w:numPr>
      </w:pPr>
      <w:r>
        <w:t xml:space="preserve">при поиске и навигации по нормируемым данным;</w:t>
      </w:r>
    </w:p>
    <w:p>
      <w:pPr>
        <w:pStyle w:val="Compact"/>
        <w:numPr>
          <w:ilvl w:val="0"/>
          <w:numId w:val="1001"/>
        </w:numPr>
      </w:pPr>
      <w:r>
        <w:t xml:space="preserve">при автоматическом пополнении авторитетных баз из записей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при глобальной корректировке и согласовании нормируемых данных.</w:t>
      </w:r>
    </w:p>
    <w:bookmarkStart w:id="10" w:name="общие-правила-ведения"/>
    <w:p>
      <w:pPr>
        <w:pStyle w:val="Heading2"/>
      </w:pPr>
      <w:r>
        <w:t xml:space="preserve">1. Общие правила ведения</w:t>
      </w:r>
    </w:p>
    <w:p>
      <w:pPr>
        <w:pStyle w:val="FirstParagraph"/>
      </w:pPr>
      <w:r>
        <w:t xml:space="preserve">Для авторитетных баз используются три типа записей:</w:t>
      </w:r>
    </w:p>
    <w:p>
      <w:pPr>
        <w:pStyle w:val="Compact"/>
        <w:numPr>
          <w:ilvl w:val="0"/>
          <w:numId w:val="1002"/>
        </w:numPr>
      </w:pPr>
      <w:r>
        <w:t xml:space="preserve">основная авторитетная запись с принятой формой заголовка;</w:t>
      </w:r>
    </w:p>
    <w:p>
      <w:pPr>
        <w:pStyle w:val="Compact"/>
        <w:numPr>
          <w:ilvl w:val="0"/>
          <w:numId w:val="1002"/>
        </w:numPr>
      </w:pPr>
      <w:r>
        <w:t xml:space="preserve">ссылочная запись, если связь между принятой и вариантной формой нельзя установить внутри основной записи;</w:t>
      </w:r>
    </w:p>
    <w:p>
      <w:pPr>
        <w:pStyle w:val="Compact"/>
        <w:numPr>
          <w:ilvl w:val="0"/>
          <w:numId w:val="1002"/>
        </w:numPr>
      </w:pPr>
      <w:r>
        <w:t xml:space="preserve">справочная запись для пояснительной информации.</w:t>
      </w:r>
    </w:p>
    <w:p>
      <w:pPr>
        <w:pStyle w:val="FirstParagraph"/>
      </w:pPr>
      <w:r>
        <w:t xml:space="preserve">В авторитетных записях поля связи имеют устойчивую методическую роль:</w:t>
      </w:r>
    </w:p>
    <w:p>
      <w:pPr>
        <w:pStyle w:val="Compact"/>
        <w:numPr>
          <w:ilvl w:val="0"/>
          <w:numId w:val="1003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410</w:t>
      </w:r>
      <w:r>
        <w:t xml:space="preserve"> </w:t>
      </w:r>
      <w:r>
        <w:t xml:space="preserve">содержит вариантные заголовки и формирует ссылку</w:t>
      </w:r>
      <w:r>
        <w:t xml:space="preserve"> </w:t>
      </w:r>
      <w:r>
        <w:rPr>
          <w:rStyle w:val="VerbatimChar"/>
        </w:rPr>
        <w:t xml:space="preserve">см.</w:t>
      </w:r>
      <w:r>
        <w:t xml:space="preserve"> </w:t>
      </w:r>
      <w:r>
        <w:t xml:space="preserve">к принятому заголовку;</w:t>
      </w:r>
    </w:p>
    <w:p>
      <w:pPr>
        <w:pStyle w:val="Compact"/>
        <w:numPr>
          <w:ilvl w:val="0"/>
          <w:numId w:val="1003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510</w:t>
      </w:r>
      <w:r>
        <w:t xml:space="preserve"> </w:t>
      </w:r>
      <w:r>
        <w:t xml:space="preserve">содержит связанные принятые заголовки и формирует ссылку</w:t>
      </w:r>
      <w:r>
        <w:t xml:space="preserve"> </w:t>
      </w:r>
      <w:r>
        <w:rPr>
          <w:rStyle w:val="VerbatimChar"/>
        </w:rPr>
        <w:t xml:space="preserve">см. также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305</w:t>
      </w:r>
      <w:r>
        <w:t xml:space="preserve"> </w:t>
      </w:r>
      <w:r>
        <w:t xml:space="preserve">поясняет связь между принятыми заголовками, если её нельзя корректно выразить только данными</w:t>
      </w:r>
      <w:r>
        <w:t xml:space="preserve"> </w:t>
      </w:r>
      <w:r>
        <w:rPr>
          <w:rStyle w:val="VerbatimChar"/>
        </w:rPr>
        <w:t xml:space="preserve">510</w:t>
      </w:r>
      <w:r>
        <w:t xml:space="preserve">.</w:t>
      </w:r>
    </w:p>
    <w:p>
      <w:pPr>
        <w:pStyle w:val="FirstParagraph"/>
      </w:pPr>
      <w:r>
        <w:t xml:space="preserve">Вариантные заголовки из</w:t>
      </w:r>
      <w:r>
        <w:t xml:space="preserve"> </w:t>
      </w:r>
      <w:r>
        <w:rPr>
          <w:rStyle w:val="VerbatimChar"/>
        </w:rPr>
        <w:t xml:space="preserve">410</w:t>
      </w:r>
      <w:r>
        <w:t xml:space="preserve"> </w:t>
      </w:r>
      <w:r>
        <w:t xml:space="preserve">не должны быть заголовками других авторитетных записей и не переносятся в запись электронного каталога как самостоятельные данные. Связанные заголовки из</w:t>
      </w:r>
      <w:r>
        <w:t xml:space="preserve"> </w:t>
      </w:r>
      <w:r>
        <w:rPr>
          <w:rStyle w:val="VerbatimChar"/>
        </w:rPr>
        <w:t xml:space="preserve">510</w:t>
      </w:r>
      <w:r>
        <w:t xml:space="preserve"> </w:t>
      </w:r>
      <w:r>
        <w:t xml:space="preserve">должны существовать как принятые заголовки других авторитетных записей; при сохранении они могут создаваться автоматически.</w:t>
      </w:r>
    </w:p>
    <w:p>
      <w:pPr>
        <w:pStyle w:val="BodyText"/>
      </w:pPr>
      <w:r>
        <w:t xml:space="preserve">Автоматическое пополнение авторитетных баз возможно двумя способами: при сохранении библиографической записи, если включён соответствующий параметр</w:t>
      </w:r>
      <w:r>
        <w:t xml:space="preserve"> </w:t>
      </w:r>
      <w:r>
        <w:rPr>
          <w:rStyle w:val="VerbatimChar"/>
        </w:rPr>
        <w:t xml:space="preserve">MODATHR*</w:t>
      </w:r>
      <w:r>
        <w:t xml:space="preserve">, или заданием глобальной корректировки. Общая технология пополнения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Глобальная корректировка данных</w:t>
        </w:r>
      </w:hyperlink>
      <w:r>
        <w:t xml:space="preserve">.</w:t>
      </w:r>
    </w:p>
    <w:bookmarkEnd w:id="10"/>
    <w:bookmarkStart w:id="12" w:name="athra-индивидуальные-авторы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: индивидуальные авторы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предназначена для авторитетных записей на индивидуальных авторов и другие индивидуальные лица.</w:t>
      </w:r>
    </w:p>
    <w:p>
      <w:pPr>
        <w:pStyle w:val="BodyText"/>
      </w:pPr>
      <w:r>
        <w:t xml:space="preserve">Рабочие листы: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ATHRA</w:t>
      </w:r>
      <w:r>
        <w:t xml:space="preserve"> </w:t>
      </w:r>
      <w:r>
        <w:t xml:space="preserve">- основная авторитетная запись на индивидуальное лицо;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REF</w:t>
      </w:r>
      <w:r>
        <w:t xml:space="preserve"> </w:t>
      </w:r>
      <w:r>
        <w:t xml:space="preserve">- ссылочная запись, если связь не удаётся установить в основной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EXP</w:t>
      </w:r>
      <w:r>
        <w:t xml:space="preserve"> </w:t>
      </w:r>
      <w:r>
        <w:t xml:space="preserve">- справочная запись.</w:t>
      </w:r>
    </w:p>
    <w:p>
      <w:pPr>
        <w:pStyle w:val="FirstParagraph"/>
      </w:pPr>
      <w:r>
        <w:t xml:space="preserve">База используется при вводе лиц первичной и вторичной ответственности, персоналий и имён в составе специальных полей электронного каталога. Типичные поля ЭК: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,</w:t>
      </w:r>
      <w:r>
        <w:t xml:space="preserve"> </w:t>
      </w:r>
      <w:r>
        <w:rPr>
          <w:rStyle w:val="VerbatimChar"/>
        </w:rPr>
        <w:t xml:space="preserve">600</w:t>
      </w:r>
      <w:r>
        <w:t xml:space="preserve">,</w:t>
      </w:r>
      <w:r>
        <w:t xml:space="preserve"> </w:t>
      </w:r>
      <w:r>
        <w:rPr>
          <w:rStyle w:val="VerbatimChar"/>
        </w:rPr>
        <w:t xml:space="preserve">330</w:t>
      </w:r>
      <w:r>
        <w:t xml:space="preserve">,</w:t>
      </w:r>
      <w:r>
        <w:t xml:space="preserve"> </w:t>
      </w:r>
      <w:r>
        <w:rPr>
          <w:rStyle w:val="VerbatimChar"/>
        </w:rPr>
        <w:t xml:space="preserve">922</w:t>
      </w:r>
      <w:r>
        <w:t xml:space="preserve">,</w:t>
      </w:r>
      <w:r>
        <w:t xml:space="preserve"> </w:t>
      </w:r>
      <w:r>
        <w:rPr>
          <w:rStyle w:val="VerbatimChar"/>
        </w:rPr>
        <w:t xml:space="preserve">925</w:t>
      </w:r>
      <w:r>
        <w:t xml:space="preserve">,</w:t>
      </w:r>
      <w:r>
        <w:t xml:space="preserve"> </w:t>
      </w:r>
      <w:r>
        <w:rPr>
          <w:rStyle w:val="VerbatimChar"/>
        </w:rPr>
        <w:t xml:space="preserve">926</w:t>
      </w:r>
      <w:r>
        <w:t xml:space="preserve">,</w:t>
      </w:r>
      <w:r>
        <w:t xml:space="preserve"> </w:t>
      </w:r>
      <w:r>
        <w:rPr>
          <w:rStyle w:val="VerbatimChar"/>
        </w:rPr>
        <w:t xml:space="preserve">961</w:t>
      </w:r>
      <w:r>
        <w:t xml:space="preserve">,</w:t>
      </w:r>
      <w:r>
        <w:t xml:space="preserve"> </w:t>
      </w:r>
      <w:r>
        <w:rPr>
          <w:rStyle w:val="VerbatimChar"/>
        </w:rPr>
        <w:t xml:space="preserve">391</w:t>
      </w:r>
      <w:r>
        <w:t xml:space="preserve">,</w:t>
      </w:r>
      <w:r>
        <w:t xml:space="preserve"> </w:t>
      </w:r>
      <w:r>
        <w:rPr>
          <w:rStyle w:val="VerbatimChar"/>
        </w:rPr>
        <w:t xml:space="preserve">481</w:t>
      </w:r>
      <w:r>
        <w:t xml:space="preserve">,</w:t>
      </w:r>
      <w:r>
        <w:t xml:space="preserve"> </w:t>
      </w:r>
      <w:r>
        <w:rPr>
          <w:rStyle w:val="VerbatimChar"/>
        </w:rPr>
        <w:t xml:space="preserve">488</w:t>
      </w:r>
      <w:r>
        <w:t xml:space="preserve">.</w:t>
      </w:r>
    </w:p>
    <w:p>
      <w:pPr>
        <w:pStyle w:val="BodyText"/>
      </w:pPr>
      <w:r>
        <w:t xml:space="preserve">Автоматическое пополнение выполняется при</w:t>
      </w:r>
      <w:r>
        <w:t xml:space="preserve"> </w:t>
      </w:r>
      <w:r>
        <w:rPr>
          <w:rStyle w:val="VerbatimChar"/>
        </w:rPr>
        <w:t xml:space="preserve">MODATHRA=1</w:t>
      </w:r>
      <w:r>
        <w:t xml:space="preserve"> </w:t>
      </w:r>
      <w:r>
        <w:t xml:space="preserve">или заданием</w:t>
      </w:r>
      <w:r>
        <w:t xml:space="preserve"> </w:t>
      </w:r>
      <w:r>
        <w:rPr>
          <w:rStyle w:val="VerbatimChar"/>
        </w:rPr>
        <w:t xml:space="preserve">athra.gbl</w:t>
      </w:r>
      <w:r>
        <w:t xml:space="preserve">. В авторитетную базу включаются оригинальные лица из соответствующих полей библиографических записей.</w:t>
      </w:r>
    </w:p>
    <w:bookmarkStart w:id="11" w:name="признак-иностранного-агента-в-athra"/>
    <w:p>
      <w:pPr>
        <w:pStyle w:val="Heading3"/>
      </w:pPr>
      <w:r>
        <w:t xml:space="preserve">2.1. Признак иностранного агента в</w:t>
      </w:r>
      <w:r>
        <w:t xml:space="preserve"> </w:t>
      </w:r>
      <w:r>
        <w:rPr>
          <w:rStyle w:val="VerbatimChar"/>
        </w:rPr>
        <w:t xml:space="preserve">ATHRA</w:t>
      </w:r>
    </w:p>
    <w:p>
      <w:pPr>
        <w:pStyle w:val="FirstParagraph"/>
      </w:pPr>
      <w:r>
        <w:t xml:space="preserve">Если индивидуальное лицо имеет статус иностранного агента и организация должна учитывать это при описании и отборе документов, признак фиксируется в авторитетной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.</w:t>
      </w:r>
    </w:p>
    <w:p>
      <w:pPr>
        <w:pStyle w:val="BodyText"/>
      </w:pPr>
      <w:r>
        <w:t xml:space="preserve">В типовой поставке для этого используется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- примечания об особенностях распространения и использования. В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выбирается значение из меню</w:t>
      </w:r>
      <w:r>
        <w:t xml:space="preserve"> </w:t>
      </w:r>
      <w:r>
        <w:rPr>
          <w:rStyle w:val="VerbatimChar"/>
        </w:rPr>
        <w:t xml:space="preserve">ino.mnu</w:t>
      </w:r>
      <w:r>
        <w:t xml:space="preserve">, для статуса иностранного агента используется код</w:t>
      </w:r>
      <w:r>
        <w:t xml:space="preserve"> </w:t>
      </w:r>
      <w:r>
        <w:rPr>
          <w:rStyle w:val="VerbatimChar"/>
        </w:rPr>
        <w:t xml:space="preserve">I</w:t>
      </w:r>
      <w:r>
        <w:t xml:space="preserve">. В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можно указать дату объявления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</w:t>
      </w:r>
    </w:p>
    <w:p>
      <w:pPr>
        <w:pStyle w:val="BodyText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340</w:t>
      </w:r>
      <w:r>
        <w:t xml:space="preserve"> </w:t>
      </w:r>
      <w:r>
        <w:t xml:space="preserve">- примечания о биографии и деятельности - можно использовать для человекочитаемого пояснения: в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записывается текст примечания о деятельности, в подполе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- даты, относящиеся к этому примечанию. Такое пояснение не заменяет структурированный признак в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если локальная методика требует поискового отбора по иностранным агентам.</w:t>
      </w:r>
    </w:p>
    <w:p>
      <w:pPr>
        <w:pStyle w:val="BodyText"/>
      </w:pPr>
      <w:r>
        <w:t xml:space="preserve">После изменения авторитетной записи нужно перестроить словари или выполнить регламентную индексацию, принятую в организации. Форматы просмотра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выводят поля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340</w:t>
      </w:r>
      <w:r>
        <w:t xml:space="preserve">, а поисковый индекс авторитетной базы формирует термин</w:t>
      </w:r>
      <w:r>
        <w:t xml:space="preserve"> </w:t>
      </w:r>
      <w:r>
        <w:rPr>
          <w:rStyle w:val="VerbatimChar"/>
        </w:rPr>
        <w:t xml:space="preserve">INO=</w:t>
      </w:r>
      <w:r>
        <w:t xml:space="preserve"> </w:t>
      </w:r>
      <w:r>
        <w:t xml:space="preserve">по заполненному полю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bookmarkEnd w:id="11"/>
    <w:bookmarkEnd w:id="12"/>
    <w:bookmarkStart w:id="13" w:name="X477532c406a1b7542a6172268128286aab42ea6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: коллективы, мероприятия и издательства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предназначена для авторитетных записей на постоянные коллективы, временные коллективы, мероприятия и издательства.</w:t>
      </w:r>
    </w:p>
    <w:p>
      <w:pPr>
        <w:pStyle w:val="BodyText"/>
      </w:pPr>
      <w:r>
        <w:t xml:space="preserve">Рабочие листы: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ATHRC</w:t>
      </w:r>
      <w:r>
        <w:t xml:space="preserve"> </w:t>
      </w:r>
      <w:r>
        <w:t xml:space="preserve">- основная запись на коллектив, мероприятие или издательство;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REF</w:t>
      </w:r>
      <w:r>
        <w:t xml:space="preserve"> </w:t>
      </w:r>
      <w:r>
        <w:t xml:space="preserve">- ссылочная запись;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EXP</w:t>
      </w:r>
      <w:r>
        <w:t xml:space="preserve"> </w:t>
      </w:r>
      <w:r>
        <w:t xml:space="preserve">- справочная запись.</w:t>
      </w:r>
    </w:p>
    <w:p>
      <w:pPr>
        <w:pStyle w:val="FirstParagraph"/>
      </w:pPr>
      <w:r>
        <w:t xml:space="preserve">Для полей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410</w:t>
      </w:r>
      <w:r>
        <w:t xml:space="preserve">,</w:t>
      </w:r>
      <w:r>
        <w:t xml:space="preserve"> </w:t>
      </w:r>
      <w:r>
        <w:rPr>
          <w:rStyle w:val="VerbatimChar"/>
        </w:rPr>
        <w:t xml:space="preserve">510</w:t>
      </w:r>
      <w:r>
        <w:t xml:space="preserve"> </w:t>
      </w:r>
      <w:r>
        <w:t xml:space="preserve">рекомендуется заполнять подполе типа организации. Это помогает точнее различать коллективы, мероприятия и издательства.</w:t>
      </w:r>
    </w:p>
    <w:p>
      <w:pPr>
        <w:pStyle w:val="BodyText"/>
      </w:pPr>
      <w:r>
        <w:t xml:space="preserve">База используется при вводе коллективов и издательств в электронный каталог. Типичные поля ЭК:</w:t>
      </w:r>
      <w:r>
        <w:t xml:space="preserve"> </w:t>
      </w:r>
      <w:r>
        <w:rPr>
          <w:rStyle w:val="VerbatimChar"/>
        </w:rPr>
        <w:t xml:space="preserve">710</w:t>
      </w:r>
      <w:r>
        <w:t xml:space="preserve">,</w:t>
      </w:r>
      <w:r>
        <w:t xml:space="preserve"> </w:t>
      </w:r>
      <w:r>
        <w:rPr>
          <w:rStyle w:val="VerbatimChar"/>
        </w:rPr>
        <w:t xml:space="preserve">711</w:t>
      </w:r>
      <w:r>
        <w:t xml:space="preserve">,</w:t>
      </w:r>
      <w:r>
        <w:t xml:space="preserve"> </w:t>
      </w:r>
      <w:r>
        <w:rPr>
          <w:rStyle w:val="VerbatimChar"/>
        </w:rPr>
        <w:t xml:space="preserve">961</w:t>
      </w:r>
      <w:r>
        <w:t xml:space="preserve">,</w:t>
      </w:r>
      <w:r>
        <w:t xml:space="preserve"> </w:t>
      </w:r>
      <w:r>
        <w:rPr>
          <w:rStyle w:val="VerbatimChar"/>
        </w:rPr>
        <w:t xml:space="preserve">971</w:t>
      </w:r>
      <w:r>
        <w:t xml:space="preserve">,</w:t>
      </w:r>
      <w:r>
        <w:t xml:space="preserve"> </w:t>
      </w:r>
      <w:r>
        <w:rPr>
          <w:rStyle w:val="VerbatimChar"/>
        </w:rPr>
        <w:t xml:space="preserve">972</w:t>
      </w:r>
      <w:r>
        <w:t xml:space="preserve">,</w:t>
      </w:r>
      <w:r>
        <w:t xml:space="preserve"> </w:t>
      </w:r>
      <w:r>
        <w:rPr>
          <w:rStyle w:val="VerbatimChar"/>
        </w:rPr>
        <w:t xml:space="preserve">962</w:t>
      </w:r>
      <w:r>
        <w:t xml:space="preserve">,</w:t>
      </w:r>
      <w:r>
        <w:t xml:space="preserve"> </w:t>
      </w:r>
      <w:r>
        <w:rPr>
          <w:rStyle w:val="VerbatimChar"/>
        </w:rPr>
        <w:t xml:space="preserve">601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461</w:t>
      </w:r>
      <w:r>
        <w:t xml:space="preserve">,</w:t>
      </w:r>
      <w:r>
        <w:t xml:space="preserve"> </w:t>
      </w:r>
      <w:r>
        <w:rPr>
          <w:rStyle w:val="VerbatimChar"/>
        </w:rPr>
        <w:t xml:space="preserve">463</w:t>
      </w:r>
      <w:r>
        <w:t xml:space="preserve">.</w:t>
      </w:r>
    </w:p>
    <w:p>
      <w:pPr>
        <w:pStyle w:val="BodyText"/>
      </w:pPr>
      <w:r>
        <w:t xml:space="preserve">Автоматическое пополнение выполняется при</w:t>
      </w:r>
      <w:r>
        <w:t xml:space="preserve"> </w:t>
      </w:r>
      <w:r>
        <w:rPr>
          <w:rStyle w:val="VerbatimChar"/>
        </w:rPr>
        <w:t xml:space="preserve">MODATHRC=1</w:t>
      </w:r>
      <w:r>
        <w:t xml:space="preserve"> </w:t>
      </w:r>
      <w:r>
        <w:t xml:space="preserve">или заданием</w:t>
      </w:r>
      <w:r>
        <w:t xml:space="preserve"> </w:t>
      </w:r>
      <w:r>
        <w:rPr>
          <w:rStyle w:val="VerbatimChar"/>
        </w:rPr>
        <w:t xml:space="preserve">athrc.gbl</w:t>
      </w:r>
      <w:r>
        <w:t xml:space="preserve">.</w:t>
      </w:r>
    </w:p>
    <w:bookmarkEnd w:id="13"/>
    <w:bookmarkStart w:id="14" w:name="athrs-предметные-рубрики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: предметные рубрики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содержит тематические предметные рубрики, географические рубрики и предметные рубрики, представленные именем лица, родовым именем, именем и заглавием или заглавием.</w:t>
      </w:r>
    </w:p>
    <w:p>
      <w:pPr>
        <w:pStyle w:val="BodyText"/>
      </w:pPr>
      <w:r>
        <w:t xml:space="preserve">Рабочие листы: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ATHRS</w:t>
      </w:r>
      <w:r>
        <w:t xml:space="preserve"> </w:t>
      </w:r>
      <w:r>
        <w:t xml:space="preserve">- основная запись на тематическую предметную рубрику;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ATHRA</w:t>
      </w:r>
      <w:r>
        <w:t xml:space="preserve"> </w:t>
      </w:r>
      <w:r>
        <w:t xml:space="preserve">- запись, если предметная рубрика представлена именем лица;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ATHRC</w:t>
      </w:r>
      <w:r>
        <w:t xml:space="preserve"> </w:t>
      </w:r>
      <w:r>
        <w:t xml:space="preserve">- запись, если предметная рубрика представлена наименованием организации;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REF</w:t>
      </w:r>
      <w:r>
        <w:t xml:space="preserve"> </w:t>
      </w:r>
      <w:r>
        <w:t xml:space="preserve">- ссылочная запись;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EXP</w:t>
      </w:r>
      <w:r>
        <w:t xml:space="preserve"> </w:t>
      </w:r>
      <w:r>
        <w:t xml:space="preserve">- справочная запись.</w:t>
      </w:r>
    </w:p>
    <w:p>
      <w:pPr>
        <w:pStyle w:val="FirstParagraph"/>
      </w:pPr>
      <w:r>
        <w:t xml:space="preserve">Ссылки</w:t>
      </w:r>
      <w:r>
        <w:t xml:space="preserve"> </w:t>
      </w:r>
      <w:r>
        <w:rPr>
          <w:rStyle w:val="VerbatimChar"/>
        </w:rPr>
        <w:t xml:space="preserve">см.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допустимы между заголовками одной категории: от имени лица к имени лица, от тематической рубрики к тематической рубрике и т. п. Для связей</w:t>
      </w:r>
      <w:r>
        <w:t xml:space="preserve"> </w:t>
      </w:r>
      <w:r>
        <w:rPr>
          <w:rStyle w:val="VerbatimChar"/>
        </w:rPr>
        <w:t xml:space="preserve">см. также</w:t>
      </w:r>
      <w:r>
        <w:t xml:space="preserve"> </w:t>
      </w:r>
      <w:r>
        <w:t xml:space="preserve">между заголовками разных категорий используются специальные поля, данные из которых при сохранении переносятся в</w:t>
      </w:r>
      <w:r>
        <w:t xml:space="preserve"> </w:t>
      </w:r>
      <w:r>
        <w:rPr>
          <w:rStyle w:val="VerbatimChar"/>
        </w:rPr>
        <w:t xml:space="preserve">510</w:t>
      </w:r>
      <w:r>
        <w:t xml:space="preserve">.</w:t>
      </w:r>
    </w:p>
    <w:p>
      <w:pPr>
        <w:pStyle w:val="BodyText"/>
      </w:pPr>
      <w:r>
        <w:t xml:space="preserve">База используется при вводе предметных и географических рубрик, а также связанных с ними индексов УДК и ББК. Типичные поля ЭК:</w:t>
      </w:r>
      <w:r>
        <w:t xml:space="preserve"> </w:t>
      </w:r>
      <w:r>
        <w:rPr>
          <w:rStyle w:val="VerbatimChar"/>
        </w:rPr>
        <w:t xml:space="preserve">606</w:t>
      </w:r>
      <w:r>
        <w:t xml:space="preserve">,</w:t>
      </w:r>
      <w:r>
        <w:t xml:space="preserve"> </w:t>
      </w:r>
      <w:r>
        <w:rPr>
          <w:rStyle w:val="VerbatimChar"/>
        </w:rPr>
        <w:t xml:space="preserve">607</w:t>
      </w:r>
      <w:r>
        <w:t xml:space="preserve">,</w:t>
      </w:r>
      <w:r>
        <w:t xml:space="preserve"> </w:t>
      </w:r>
      <w:r>
        <w:rPr>
          <w:rStyle w:val="VerbatimChar"/>
        </w:rPr>
        <w:t xml:space="preserve">600</w:t>
      </w:r>
      <w:r>
        <w:t xml:space="preserve">,</w:t>
      </w:r>
      <w:r>
        <w:t xml:space="preserve"> </w:t>
      </w:r>
      <w:r>
        <w:rPr>
          <w:rStyle w:val="VerbatimChar"/>
        </w:rPr>
        <w:t xml:space="preserve">601</w:t>
      </w:r>
      <w:r>
        <w:t xml:space="preserve">.</w:t>
      </w:r>
    </w:p>
    <w:p>
      <w:pPr>
        <w:pStyle w:val="BodyText"/>
      </w:pPr>
      <w:r>
        <w:t xml:space="preserve">Автоматическое пополнение выполняется при</w:t>
      </w:r>
      <w:r>
        <w:t xml:space="preserve"> </w:t>
      </w:r>
      <w:r>
        <w:rPr>
          <w:rStyle w:val="VerbatimChar"/>
        </w:rPr>
        <w:t xml:space="preserve">MODATHRS=1</w:t>
      </w:r>
      <w:r>
        <w:t xml:space="preserve"> </w:t>
      </w:r>
      <w:r>
        <w:t xml:space="preserve">или заданием</w:t>
      </w:r>
      <w:r>
        <w:t xml:space="preserve"> </w:t>
      </w:r>
      <w:r>
        <w:rPr>
          <w:rStyle w:val="VerbatimChar"/>
        </w:rPr>
        <w:t xml:space="preserve">athrs.gbl</w:t>
      </w:r>
      <w:r>
        <w:t xml:space="preserve">. На время пополнения из электронного каталога режим корректировки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должен быть выключен.</w:t>
      </w:r>
    </w:p>
    <w:p>
      <w:pPr>
        <w:pStyle w:val="BodyText"/>
      </w:pPr>
      <w:r>
        <w:t xml:space="preserve">Если при корректировке рубрики в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нужно автоматически исправлять соответствующие рубрики в ЭК, используется параметр</w:t>
      </w:r>
      <w:r>
        <w:t xml:space="preserve"> </w:t>
      </w:r>
      <w:r>
        <w:rPr>
          <w:rStyle w:val="VerbatimChar"/>
        </w:rPr>
        <w:t xml:space="preserve">ATHRSAK=1</w:t>
      </w:r>
      <w:r>
        <w:t xml:space="preserve">, перестроение словаря ЭК и включение режима корректировки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. Пополнение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из ЭК и автоматическая корректировка ЭК при правке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требуют разных значений режима</w:t>
      </w:r>
      <w:r>
        <w:t xml:space="preserve"> </w:t>
      </w:r>
      <w:r>
        <w:rPr>
          <w:rStyle w:val="VerbatimChar"/>
        </w:rPr>
        <w:t xml:space="preserve">ATH</w:t>
      </w:r>
      <w:r>
        <w:t xml:space="preserve">, поэтому совместно эти процессы не выполняются.</w:t>
      </w:r>
    </w:p>
    <w:bookmarkEnd w:id="14"/>
    <w:bookmarkStart w:id="15" w:name="athrb-апу-к-ббк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: АПУ к ББК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используется как авторитетная база алфавитно-предметного указателя к ББК. Для ввода используется рабочий лист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.</w:t>
      </w:r>
    </w:p>
    <w:p>
      <w:pPr>
        <w:pStyle w:val="BodyText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510</w:t>
      </w:r>
      <w:r>
        <w:t xml:space="preserve"> </w:t>
      </w:r>
      <w:r>
        <w:t xml:space="preserve">задаёт связь</w:t>
      </w:r>
      <w:r>
        <w:t xml:space="preserve"> </w:t>
      </w:r>
      <w:r>
        <w:rPr>
          <w:rStyle w:val="VerbatimChar"/>
        </w:rPr>
        <w:t xml:space="preserve">см. также</w:t>
      </w:r>
      <w:r>
        <w:t xml:space="preserve"> </w:t>
      </w:r>
      <w:r>
        <w:t xml:space="preserve">между принятыми заголовками. Связанные заголовки должны существовать как заголовки других авторитетных записей или создаваться автоматически при сохранении.</w:t>
      </w:r>
    </w:p>
    <w:p>
      <w:pPr>
        <w:pStyle w:val="BodyText"/>
      </w:pPr>
      <w:r>
        <w:t xml:space="preserve">База используется при вводе индексов ББК в поле</w:t>
      </w:r>
      <w:r>
        <w:t xml:space="preserve"> </w:t>
      </w:r>
      <w:r>
        <w:rPr>
          <w:rStyle w:val="VerbatimChar"/>
        </w:rPr>
        <w:t xml:space="preserve">621</w:t>
      </w:r>
      <w:r>
        <w:t xml:space="preserve">. Автоматическое пополнение выполняется при</w:t>
      </w:r>
      <w:r>
        <w:t xml:space="preserve"> </w:t>
      </w:r>
      <w:r>
        <w:rPr>
          <w:rStyle w:val="VerbatimChar"/>
        </w:rPr>
        <w:t xml:space="preserve">MODATHRB=1</w:t>
      </w:r>
      <w:r>
        <w:t xml:space="preserve"> </w:t>
      </w:r>
      <w:r>
        <w:t xml:space="preserve">или заданием</w:t>
      </w:r>
      <w:r>
        <w:t xml:space="preserve"> </w:t>
      </w:r>
      <w:r>
        <w:rPr>
          <w:rStyle w:val="VerbatimChar"/>
        </w:rPr>
        <w:t xml:space="preserve">athrb.gbl</w:t>
      </w:r>
      <w:r>
        <w:t xml:space="preserve">; в базу включаются оригинальные индексы ББК, в которых заполнено подполе с текстом.</w:t>
      </w:r>
    </w:p>
    <w:bookmarkEnd w:id="15"/>
    <w:bookmarkStart w:id="16" w:name="athru-апу-к-удк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: АПУ к УДК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используется как авторитетная база алфавитно-предметного указателя к УДК. Для ввода используется рабочий лист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.</w:t>
      </w:r>
    </w:p>
    <w:p>
      <w:pPr>
        <w:pStyle w:val="BodyText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510</w:t>
      </w:r>
      <w:r>
        <w:t xml:space="preserve"> </w:t>
      </w:r>
      <w:r>
        <w:t xml:space="preserve">задаёт связь</w:t>
      </w:r>
      <w:r>
        <w:t xml:space="preserve"> </w:t>
      </w:r>
      <w:r>
        <w:rPr>
          <w:rStyle w:val="VerbatimChar"/>
        </w:rPr>
        <w:t xml:space="preserve">см. также</w:t>
      </w:r>
      <w:r>
        <w:t xml:space="preserve"> </w:t>
      </w:r>
      <w:r>
        <w:t xml:space="preserve">между принятыми заголовками. Связанные заголовки должны существовать как заголовки других авторитетных записей или создаваться автоматически при сохранении.</w:t>
      </w:r>
    </w:p>
    <w:p>
      <w:pPr>
        <w:pStyle w:val="BodyText"/>
      </w:pPr>
      <w:r>
        <w:t xml:space="preserve">База используется при вводе индексов УДК в поле</w:t>
      </w:r>
      <w:r>
        <w:t xml:space="preserve"> </w:t>
      </w:r>
      <w:r>
        <w:rPr>
          <w:rStyle w:val="VerbatimChar"/>
        </w:rPr>
        <w:t xml:space="preserve">675</w:t>
      </w:r>
      <w:r>
        <w:t xml:space="preserve">. Автоматическое пополнение выполняется при</w:t>
      </w:r>
      <w:r>
        <w:t xml:space="preserve"> </w:t>
      </w:r>
      <w:r>
        <w:rPr>
          <w:rStyle w:val="VerbatimChar"/>
        </w:rPr>
        <w:t xml:space="preserve">MODATHRU=1</w:t>
      </w:r>
      <w:r>
        <w:t xml:space="preserve"> </w:t>
      </w:r>
      <w:r>
        <w:t xml:space="preserve">или заданием</w:t>
      </w:r>
      <w:r>
        <w:t xml:space="preserve"> </w:t>
      </w:r>
      <w:r>
        <w:rPr>
          <w:rStyle w:val="VerbatimChar"/>
        </w:rPr>
        <w:t xml:space="preserve">athru.gbl</w:t>
      </w:r>
      <w:r>
        <w:t xml:space="preserve">; в базу включаются оригинальные индексы УДК, в которых заполнено подполе с текстом.</w:t>
      </w:r>
    </w:p>
    <w:bookmarkEnd w:id="16"/>
    <w:bookmarkStart w:id="17" w:name="athrg-географические-названия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: географические названия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предназначена для авторитетных записей на географические названия.</w:t>
      </w:r>
    </w:p>
    <w:p>
      <w:pPr>
        <w:pStyle w:val="BodyText"/>
      </w:pPr>
      <w:r>
        <w:t xml:space="preserve">Рабочие листы: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ATHRG</w:t>
      </w:r>
      <w:r>
        <w:t xml:space="preserve"> </w:t>
      </w:r>
      <w:r>
        <w:t xml:space="preserve">- основная запись на географическое название;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REF</w:t>
      </w:r>
      <w:r>
        <w:t xml:space="preserve"> </w:t>
      </w:r>
      <w:r>
        <w:t xml:space="preserve">- ссылочная запись;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EXP</w:t>
      </w:r>
      <w:r>
        <w:t xml:space="preserve"> </w:t>
      </w:r>
      <w:r>
        <w:t xml:space="preserve">- справочная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410</w:t>
      </w:r>
      <w:r>
        <w:t xml:space="preserve"> </w:t>
      </w:r>
      <w:r>
        <w:t xml:space="preserve">формирует ссылку</w:t>
      </w:r>
      <w:r>
        <w:t xml:space="preserve"> </w:t>
      </w:r>
      <w:r>
        <w:rPr>
          <w:rStyle w:val="VerbatimChar"/>
        </w:rPr>
        <w:t xml:space="preserve">см.</w:t>
      </w:r>
      <w:r>
        <w:t xml:space="preserve"> </w:t>
      </w:r>
      <w:r>
        <w:t xml:space="preserve">к принятому географическому названию; такие вариантные названия не должны быть заголовками других авторитетных записей и не переносятся в ЭК. Поле</w:t>
      </w:r>
      <w:r>
        <w:t xml:space="preserve"> </w:t>
      </w:r>
      <w:r>
        <w:rPr>
          <w:rStyle w:val="VerbatimChar"/>
        </w:rPr>
        <w:t xml:space="preserve">510</w:t>
      </w:r>
      <w:r>
        <w:t xml:space="preserve"> </w:t>
      </w:r>
      <w:r>
        <w:t xml:space="preserve">формирует ссылку</w:t>
      </w:r>
      <w:r>
        <w:t xml:space="preserve"> </w:t>
      </w:r>
      <w:r>
        <w:rPr>
          <w:rStyle w:val="VerbatimChar"/>
        </w:rPr>
        <w:t xml:space="preserve">см. также</w:t>
      </w:r>
      <w:r>
        <w:t xml:space="preserve"> </w:t>
      </w:r>
      <w:r>
        <w:t xml:space="preserve">между принятыми географическими названиями.</w:t>
      </w:r>
    </w:p>
    <w:p>
      <w:pPr>
        <w:pStyle w:val="BodyText"/>
      </w:pPr>
      <w:r>
        <w:t xml:space="preserve">База используется при вводе сведений о картографическом материале, прежде всего в поле</w:t>
      </w:r>
      <w:r>
        <w:t xml:space="preserve"> </w:t>
      </w:r>
      <w:r>
        <w:rPr>
          <w:rStyle w:val="VerbatimChar"/>
        </w:rPr>
        <w:t xml:space="preserve">509</w:t>
      </w:r>
      <w:r>
        <w:t xml:space="preserve">. Автоматическое пополнение выполняется при</w:t>
      </w:r>
      <w:r>
        <w:t xml:space="preserve"> </w:t>
      </w:r>
      <w:r>
        <w:rPr>
          <w:rStyle w:val="VerbatimChar"/>
        </w:rPr>
        <w:t xml:space="preserve">MODATHRG=1</w:t>
      </w:r>
      <w:r>
        <w:t xml:space="preserve"> </w:t>
      </w:r>
      <w:r>
        <w:t xml:space="preserve">или заданием</w:t>
      </w:r>
      <w:r>
        <w:t xml:space="preserve"> </w:t>
      </w:r>
      <w:r>
        <w:rPr>
          <w:rStyle w:val="VerbatimChar"/>
        </w:rPr>
        <w:t xml:space="preserve">athrg.gbl</w:t>
      </w:r>
      <w:r>
        <w:t xml:space="preserve">; в базу включаются оригинальные географические наименования из поля</w:t>
      </w:r>
      <w:r>
        <w:t xml:space="preserve"> </w:t>
      </w:r>
      <w:r>
        <w:rPr>
          <w:rStyle w:val="VerbatimChar"/>
        </w:rPr>
        <w:t xml:space="preserve">509</w:t>
      </w:r>
      <w:r>
        <w:t xml:space="preserve">.</w:t>
      </w:r>
    </w:p>
    <w:bookmarkEnd w:id="17"/>
    <w:bookmarkStart w:id="18" w:name="контроль-актуальности"/>
    <w:p>
      <w:pPr>
        <w:pStyle w:val="Heading2"/>
      </w:pPr>
      <w:r>
        <w:t xml:space="preserve">8. Контроль актуальности</w:t>
      </w:r>
    </w:p>
    <w:p>
      <w:pPr>
        <w:pStyle w:val="FirstParagraph"/>
      </w:pPr>
      <w:r>
        <w:t xml:space="preserve">Перед внедрением технологии авторитетных баз нужно проверить:</w:t>
      </w:r>
    </w:p>
    <w:p>
      <w:pPr>
        <w:pStyle w:val="Compact"/>
        <w:numPr>
          <w:ilvl w:val="0"/>
          <w:numId w:val="1008"/>
        </w:numPr>
      </w:pPr>
      <w:r>
        <w:t xml:space="preserve">какие имена баз заданы в параметрах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какие авторитетные базы реально созданы и доступны пользователям;</w:t>
      </w:r>
    </w:p>
    <w:p>
      <w:pPr>
        <w:pStyle w:val="Compact"/>
        <w:numPr>
          <w:ilvl w:val="0"/>
          <w:numId w:val="1008"/>
        </w:numPr>
      </w:pPr>
      <w:r>
        <w:t xml:space="preserve">включены ли параметры автоматического пополнения</w:t>
      </w:r>
      <w:r>
        <w:t xml:space="preserve"> </w:t>
      </w:r>
      <w:r>
        <w:rPr>
          <w:rStyle w:val="VerbatimChar"/>
        </w:rPr>
        <w:t xml:space="preserve">MODATHRA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MODATHRC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MODATHRB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MODATHRU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MODATHRG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какие поля электронного каталога обращаются к авторитетным базам в текущих рабочих листах;</w:t>
      </w:r>
    </w:p>
    <w:p>
      <w:pPr>
        <w:pStyle w:val="Compact"/>
        <w:numPr>
          <w:ilvl w:val="0"/>
          <w:numId w:val="1008"/>
        </w:numPr>
      </w:pPr>
      <w:r>
        <w:t xml:space="preserve">требуется ли автоматическая корректировка рубрик ЭК при правке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перестроены ли словари после изменения режима работы с авторитетными базами.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CatalogingWorkflo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CatalogingWorkflo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Авторитетные базы данных</dc:title>
  <dc:creator/>
  <cp:keywords/>
  <dcterms:created xsi:type="dcterms:W3CDTF">2026-09-01T16:27:53Z</dcterms:created>
  <dcterms:modified xsi:type="dcterms:W3CDTF">2026-09-01T16:27:53Z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