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Обработка записей-источников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обработка-записей-источников"/>
    <w:p>
      <w:pPr>
        <w:pStyle w:val="Heading1"/>
      </w:pPr>
      <w:r>
        <w:t xml:space="preserve">Обработка записей-источников</w:t>
      </w:r>
    </w:p>
    <w:p>
      <w:pPr>
        <w:pStyle w:val="FirstParagraph"/>
      </w:pPr>
      <w:r>
        <w:t xml:space="preserve">Обработка записей-источников сводного каталога выполняется автоматически в фоновом режиме. Настройки этапов обработки находятся в параметрах модуля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.</w:t>
      </w:r>
    </w:p>
    <w:p>
      <w:pPr>
        <w:pStyle w:val="BodyText"/>
      </w:pPr>
      <w:r>
        <w:t xml:space="preserve">Для большинства этапов задаются два общих параметра:</w:t>
      </w:r>
    </w:p>
    <w:p>
      <w:pPr>
        <w:pStyle w:val="Compact"/>
        <w:numPr>
          <w:ilvl w:val="0"/>
          <w:numId w:val="1001"/>
        </w:numPr>
      </w:pPr>
      <w:r>
        <w:t xml:space="preserve">включена ли обработка записей с этим статусом;</w:t>
      </w:r>
    </w:p>
    <w:p>
      <w:pPr>
        <w:pStyle w:val="Compact"/>
        <w:numPr>
          <w:ilvl w:val="0"/>
          <w:numId w:val="1001"/>
        </w:numPr>
      </w:pPr>
      <w:r>
        <w:t xml:space="preserve">минимальное время между повторными запусками обработчика.</w:t>
      </w:r>
    </w:p>
    <w:p>
      <w:pPr>
        <w:pStyle w:val="FirstParagraph"/>
      </w:pPr>
      <w:r>
        <w:t xml:space="preserve">Значения по умолчанию доступны на странице параметров модуля:</w:t>
      </w:r>
      <w:r>
        <w:t xml:space="preserve"> </w:t>
      </w:r>
      <w:hyperlink r:id="rId10">
        <w:r>
          <w:rPr>
            <w:rStyle w:val="Hyperlink"/>
          </w:rPr>
          <w:t xml:space="preserve">?id=Help/Show&amp;m=Help/Module/ConfigParameters&amp;module=CSpider</w:t>
        </w:r>
      </w:hyperlink>
      <w:r>
        <w:t xml:space="preserve">.</w:t>
      </w:r>
    </w:p>
    <w:bookmarkStart w:id="12" w:name="основные-этапы"/>
    <w:p>
      <w:pPr>
        <w:pStyle w:val="Heading2"/>
      </w:pPr>
      <w:r>
        <w:t xml:space="preserve">1. Основные этапы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CSpider/Stage0</w:t>
            </w:r>
          </w:p>
        </w:tc>
        <w:tc>
          <w:tcPr/>
          <w:p>
            <w:pPr>
              <w:pStyle w:val="Compact"/>
            </w:pPr>
            <w:r>
              <w:t xml:space="preserve">Новые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CSpider/Stage2</w:t>
            </w:r>
          </w:p>
        </w:tc>
        <w:tc>
          <w:tcPr/>
          <w:p>
            <w:pPr>
              <w:pStyle w:val="Compact"/>
            </w:pPr>
            <w:r>
              <w:t xml:space="preserve">Изменившиеся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CSpider/Stage3</w:t>
            </w:r>
          </w:p>
        </w:tc>
        <w:tc>
          <w:tcPr/>
          <w:p>
            <w:pPr>
              <w:pStyle w:val="Compact"/>
            </w:pPr>
            <w:r>
              <w:t xml:space="preserve">Записи, для которых не требуется действий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CSpider/Stage4</w:t>
            </w:r>
          </w:p>
        </w:tc>
        <w:tc>
          <w:tcPr/>
          <w:p>
            <w:pPr>
              <w:pStyle w:val="Compact"/>
            </w:pPr>
            <w:r>
              <w:t xml:space="preserve">Записи с неуникальными идентификаторами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CSpider/Stage5</w:t>
            </w:r>
          </w:p>
        </w:tc>
        <w:tc>
          <w:tcPr/>
          <w:p>
            <w:pPr>
              <w:pStyle w:val="Compact"/>
            </w:pPr>
            <w:r>
              <w:t xml:space="preserve">Формальная проверка записей на корректность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CSpider/Stage6</w:t>
            </w:r>
          </w:p>
        </w:tc>
        <w:tc>
          <w:tcPr/>
          <w:p>
            <w:pPr>
              <w:pStyle w:val="Compact"/>
            </w:pPr>
            <w:r>
              <w:t xml:space="preserve">Обработка ошибки чтения записи из скачанного блока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CSpider/Stage7</w:t>
            </w:r>
          </w:p>
        </w:tc>
        <w:tc>
          <w:tcPr/>
          <w:p>
            <w:pPr>
              <w:pStyle w:val="Compact"/>
            </w:pPr>
            <w:r>
              <w:t xml:space="preserve">У записи изменился идентификатор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CSpider/Stage8</w:t>
            </w:r>
          </w:p>
        </w:tc>
        <w:tc>
          <w:tcPr/>
          <w:p>
            <w:pPr>
              <w:pStyle w:val="Compact"/>
            </w:pPr>
            <w:r>
              <w:t xml:space="preserve">Проверка записи со статусом 5 не пройдена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CSpider/Stage9</w:t>
            </w:r>
          </w:p>
        </w:tc>
        <w:tc>
          <w:tcPr/>
          <w:p>
            <w:pPr>
              <w:pStyle w:val="Compact"/>
            </w:pPr>
            <w:r>
              <w:t xml:space="preserve">Нормализация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CSpider/Stage10</w:t>
            </w:r>
          </w:p>
        </w:tc>
        <w:tc>
          <w:tcPr/>
          <w:p>
            <w:pPr>
              <w:pStyle w:val="Compact"/>
            </w:pPr>
            <w:r>
              <w:t xml:space="preserve">Сопоставление шифров номеров журналов для записей статей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CSpider/Stage11</w:t>
            </w:r>
          </w:p>
        </w:tc>
        <w:tc>
          <w:tcPr/>
          <w:p>
            <w:pPr>
              <w:pStyle w:val="Compact"/>
            </w:pPr>
            <w:r>
              <w:t xml:space="preserve">Поиск шифров записи общего описания журнала для поля 933 записей на номер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CSpider/Stage13</w:t>
            </w:r>
          </w:p>
        </w:tc>
        <w:tc>
          <w:tcPr/>
          <w:p>
            <w:pPr>
              <w:pStyle w:val="Compact"/>
            </w:pPr>
            <w:r>
              <w:t xml:space="preserve">Поиск или создание соответствующей записи сводного каталога и дедубликация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CSpider/Stage16</w:t>
            </w:r>
          </w:p>
        </w:tc>
        <w:tc>
          <w:tcPr/>
          <w:p>
            <w:pPr>
              <w:pStyle w:val="Compact"/>
            </w:pPr>
            <w:r>
              <w:t xml:space="preserve">Поиск дублетной записи завершился с ошибкой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CSpider/Stage18</w:t>
            </w:r>
          </w:p>
        </w:tc>
        <w:tc>
          <w:tcPr/>
          <w:p>
            <w:pPr>
              <w:pStyle w:val="Compact"/>
            </w:pPr>
            <w:r>
              <w:t xml:space="preserve">Ошибка поиска записи в сводном каталоге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CSpider/Stage21</w:t>
            </w:r>
          </w:p>
        </w:tc>
        <w:tc>
          <w:tcPr/>
          <w:p>
            <w:pPr>
              <w:pStyle w:val="Compact"/>
            </w:pPr>
            <w:r>
              <w:t xml:space="preserve">Исходной записи давно не было в источнике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CSpider/Stage28</w:t>
            </w:r>
          </w:p>
        </w:tc>
        <w:tc>
          <w:tcPr/>
          <w:p>
            <w:pPr>
              <w:pStyle w:val="Compact"/>
            </w:pPr>
            <w:r>
              <w:t xml:space="preserve">Для записи</w:t>
            </w:r>
            <w:r>
              <w:t xml:space="preserve"> </w:t>
            </w:r>
            <w:r>
              <w:rPr>
                <w:rStyle w:val="VerbatimChar"/>
              </w:rPr>
              <w:t xml:space="preserve">NJ</w:t>
            </w:r>
            <w:r>
              <w:t xml:space="preserve"> </w:t>
            </w:r>
            <w:r>
              <w:t xml:space="preserve">не найден шифр источника на общее описание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CSpider/Stage29</w:t>
            </w:r>
          </w:p>
        </w:tc>
        <w:tc>
          <w:tcPr/>
          <w:p>
            <w:pPr>
              <w:pStyle w:val="Compact"/>
            </w:pPr>
            <w:r>
              <w:t xml:space="preserve">Для записи</w:t>
            </w:r>
            <w:r>
              <w:t xml:space="preserve"> </w:t>
            </w:r>
            <w:r>
              <w:rPr>
                <w:rStyle w:val="VerbatimChar"/>
              </w:rPr>
              <w:t xml:space="preserve">NJ</w:t>
            </w:r>
            <w:r>
              <w:t xml:space="preserve"> </w:t>
            </w:r>
            <w:r>
              <w:t xml:space="preserve">найден шифр источника, но ещё не найден сводный шифр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CSpider/Stage34</w:t>
            </w:r>
          </w:p>
        </w:tc>
        <w:tc>
          <w:tcPr/>
          <w:p>
            <w:pPr>
              <w:pStyle w:val="Compact"/>
            </w:pPr>
            <w:r>
              <w:t xml:space="preserve">Для записи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 </w:t>
            </w:r>
            <w:r>
              <w:t xml:space="preserve">не найдена запись-источник на номер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CSpider/Stage35</w:t>
            </w:r>
          </w:p>
        </w:tc>
        <w:tc>
          <w:tcPr/>
          <w:p>
            <w:pPr>
              <w:pStyle w:val="Compact"/>
            </w:pPr>
            <w:r>
              <w:t xml:space="preserve">Для записи статьи определена запись верхнего уровня, но у неё ещё нет шифра сводной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CSpider/Stage37</w:t>
            </w:r>
          </w:p>
        </w:tc>
        <w:tc>
          <w:tcPr/>
          <w:p>
            <w:pPr>
              <w:pStyle w:val="Compact"/>
            </w:pPr>
            <w:r>
              <w:t xml:space="preserve">Новая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RDR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RDRU</w:t>
            </w:r>
          </w:p>
        </w:tc>
      </w:tr>
    </w:tbl>
    <w:p>
      <w:pPr>
        <w:pStyle w:val="BodyText"/>
      </w:pPr>
      <w:r>
        <w:t xml:space="preserve">Если связь источника со сводной записью нужна сразу в рамках текущего действия, используется технический сценарий</w:t>
      </w:r>
      <w:r>
        <w:t xml:space="preserve"> </w:t>
      </w:r>
      <w:hyperlink r:id="rId11">
        <w:r>
          <w:rPr>
            <w:rStyle w:val="Hyperlink"/>
          </w:rPr>
          <w:t xml:space="preserve">Синхронная привязка записи к сводной</w:t>
        </w:r>
      </w:hyperlink>
      <w:r>
        <w:t xml:space="preserve">. Он выполняет начальное слияние без ожидания фонового прохода, а затем переводит запись-источник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bookmarkEnd w:id="12"/>
    <w:bookmarkStart w:id="14" w:name="нормализация-заглавий-на-этапе-9"/>
    <w:p>
      <w:pPr>
        <w:pStyle w:val="Heading2"/>
      </w:pPr>
      <w:r>
        <w:t xml:space="preserve">2. Нормализация заглавий на этапе 9</w:t>
      </w:r>
    </w:p>
    <w:p>
      <w:pPr>
        <w:pStyle w:val="FirstParagraph"/>
      </w:pP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поиском или обновлением сводной записи. Эта копия хранится отдельно от исходной записи и используется следующими этапами слияния.</w:t>
      </w:r>
    </w:p>
    <w:p>
      <w:pPr>
        <w:pStyle w:val="BodyText"/>
      </w:pPr>
      <w:r>
        <w:t xml:space="preserve">Для записей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этап нормализует:</w:t>
      </w:r>
    </w:p>
    <w:p>
      <w:pPr>
        <w:pStyle w:val="Compact"/>
        <w:numPr>
          <w:ilvl w:val="0"/>
          <w:numId w:val="1002"/>
        </w:numPr>
      </w:pPr>
      <w:r>
        <w:t xml:space="preserve">ISBN в подполях</w:t>
      </w:r>
      <w:r>
        <w:t xml:space="preserve"> </w:t>
      </w:r>
      <w:r>
        <w:rPr>
          <w:rStyle w:val="VerbatimChar"/>
        </w:rPr>
        <w:t xml:space="preserve">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11^A</w:t>
      </w:r>
      <w:r>
        <w:t xml:space="preserve">,</w:t>
      </w:r>
      <w:r>
        <w:t xml:space="preserve"> </w:t>
      </w:r>
      <w:r>
        <w:rPr>
          <w:rStyle w:val="VerbatimChar"/>
        </w:rPr>
        <w:t xml:space="preserve">46^J</w:t>
      </w:r>
      <w:r>
        <w:t xml:space="preserve">,</w:t>
      </w:r>
      <w:r>
        <w:t xml:space="preserve"> </w:t>
      </w:r>
      <w:r>
        <w:rPr>
          <w:rStyle w:val="VerbatimChar"/>
        </w:rPr>
        <w:t xml:space="preserve">46^X</w:t>
      </w:r>
      <w:r>
        <w:t xml:space="preserve">,</w:t>
      </w:r>
      <w:r>
        <w:t xml:space="preserve"> </w:t>
      </w:r>
      <w:r>
        <w:rPr>
          <w:rStyle w:val="VerbatimChar"/>
        </w:rPr>
        <w:t xml:space="preserve">225^X</w:t>
      </w:r>
      <w:r>
        <w:t xml:space="preserve">,</w:t>
      </w:r>
      <w:r>
        <w:t xml:space="preserve"> </w:t>
      </w:r>
      <w:r>
        <w:rPr>
          <w:rStyle w:val="VerbatimChar"/>
        </w:rPr>
        <w:t xml:space="preserve">421^I</w:t>
      </w:r>
      <w:r>
        <w:t xml:space="preserve">,</w:t>
      </w:r>
      <w:r>
        <w:t xml:space="preserve"> </w:t>
      </w:r>
      <w:r>
        <w:rPr>
          <w:rStyle w:val="VerbatimChar"/>
        </w:rPr>
        <w:t xml:space="preserve">421^X</w:t>
      </w:r>
      <w:r>
        <w:t xml:space="preserve">,</w:t>
      </w:r>
      <w:r>
        <w:t xml:space="preserve"> </w:t>
      </w:r>
      <w:r>
        <w:rPr>
          <w:rStyle w:val="VerbatimChar"/>
        </w:rPr>
        <w:t xml:space="preserve">422^I</w:t>
      </w:r>
      <w:r>
        <w:t xml:space="preserve">,</w:t>
      </w:r>
      <w:r>
        <w:t xml:space="preserve"> </w:t>
      </w:r>
      <w:r>
        <w:rPr>
          <w:rStyle w:val="VerbatimChar"/>
        </w:rPr>
        <w:t xml:space="preserve">422^X</w:t>
      </w:r>
      <w:r>
        <w:t xml:space="preserve">,</w:t>
      </w:r>
      <w:r>
        <w:t xml:space="preserve"> </w:t>
      </w:r>
      <w:r>
        <w:rPr>
          <w:rStyle w:val="VerbatimChar"/>
        </w:rPr>
        <w:t xml:space="preserve">451^I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451^J</w:t>
      </w:r>
      <w:r>
        <w:t xml:space="preserve">,</w:t>
      </w:r>
      <w:r>
        <w:t xml:space="preserve"> </w:t>
      </w:r>
      <w:r>
        <w:rPr>
          <w:rStyle w:val="VerbatimChar"/>
        </w:rPr>
        <w:t xml:space="preserve">452^I</w:t>
      </w:r>
      <w:r>
        <w:t xml:space="preserve">,</w:t>
      </w:r>
      <w:r>
        <w:t xml:space="preserve"> </w:t>
      </w:r>
      <w:r>
        <w:rPr>
          <w:rStyle w:val="VerbatimChar"/>
        </w:rPr>
        <w:t xml:space="preserve">452^J</w:t>
      </w:r>
      <w:r>
        <w:t xml:space="preserve">,</w:t>
      </w:r>
      <w:r>
        <w:t xml:space="preserve"> </w:t>
      </w:r>
      <w:r>
        <w:rPr>
          <w:rStyle w:val="VerbatimChar"/>
        </w:rPr>
        <w:t xml:space="preserve">454^I</w:t>
      </w:r>
      <w:r>
        <w:t xml:space="preserve">,</w:t>
      </w:r>
      <w:r>
        <w:t xml:space="preserve"> </w:t>
      </w:r>
      <w:r>
        <w:rPr>
          <w:rStyle w:val="VerbatimChar"/>
        </w:rPr>
        <w:t xml:space="preserve">454^J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461^I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461^J</w:t>
      </w:r>
      <w:r>
        <w:t xml:space="preserve">,</w:t>
      </w:r>
      <w:r>
        <w:t xml:space="preserve"> </w:t>
      </w:r>
      <w:r>
        <w:rPr>
          <w:rStyle w:val="VerbatimChar"/>
        </w:rPr>
        <w:t xml:space="preserve">481^I</w:t>
      </w:r>
      <w:r>
        <w:t xml:space="preserve">,</w:t>
      </w:r>
      <w:r>
        <w:t xml:space="preserve"> </w:t>
      </w:r>
      <w:r>
        <w:rPr>
          <w:rStyle w:val="VerbatimChar"/>
        </w:rPr>
        <w:t xml:space="preserve">488^I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заглавие выпуска или части в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заглавие общей части в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основное заглавие в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</w:t>
      </w:r>
    </w:p>
    <w:p>
      <w:pPr>
        <w:pStyle w:val="FirstParagraph"/>
      </w:pPr>
      <w:r>
        <w:t xml:space="preserve">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этап нормализует:</w:t>
      </w:r>
    </w:p>
    <w:p>
      <w:pPr>
        <w:pStyle w:val="Compact"/>
        <w:numPr>
          <w:ilvl w:val="0"/>
          <w:numId w:val="1003"/>
        </w:numPr>
      </w:pPr>
      <w:r>
        <w:t xml:space="preserve">ISBN в подполях</w:t>
      </w:r>
      <w:r>
        <w:t xml:space="preserve"> </w:t>
      </w:r>
      <w:r>
        <w:rPr>
          <w:rStyle w:val="VerbatimChar"/>
        </w:rPr>
        <w:t xml:space="preserve">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11^A</w:t>
      </w:r>
      <w:r>
        <w:t xml:space="preserve">,</w:t>
      </w:r>
      <w:r>
        <w:t xml:space="preserve"> </w:t>
      </w:r>
      <w:r>
        <w:rPr>
          <w:rStyle w:val="VerbatimChar"/>
        </w:rPr>
        <w:t xml:space="preserve">390^I</w:t>
      </w:r>
      <w:r>
        <w:t xml:space="preserve">,</w:t>
      </w:r>
      <w:r>
        <w:t xml:space="preserve"> </w:t>
      </w:r>
      <w:r>
        <w:rPr>
          <w:rStyle w:val="VerbatimChar"/>
        </w:rPr>
        <w:t xml:space="preserve">225^X</w:t>
      </w:r>
      <w:r>
        <w:t xml:space="preserve">,</w:t>
      </w:r>
      <w:r>
        <w:t xml:space="preserve"> </w:t>
      </w:r>
      <w:r>
        <w:rPr>
          <w:rStyle w:val="VerbatimChar"/>
        </w:rPr>
        <w:t xml:space="preserve">421^I</w:t>
      </w:r>
      <w:r>
        <w:t xml:space="preserve">,</w:t>
      </w:r>
      <w:r>
        <w:t xml:space="preserve"> </w:t>
      </w:r>
      <w:r>
        <w:rPr>
          <w:rStyle w:val="VerbatimChar"/>
        </w:rPr>
        <w:t xml:space="preserve">421^X</w:t>
      </w:r>
      <w:r>
        <w:t xml:space="preserve">,</w:t>
      </w:r>
      <w:r>
        <w:t xml:space="preserve"> </w:t>
      </w:r>
      <w:r>
        <w:rPr>
          <w:rStyle w:val="VerbatimChar"/>
        </w:rPr>
        <w:t xml:space="preserve">422^I</w:t>
      </w:r>
      <w:r>
        <w:t xml:space="preserve">,</w:t>
      </w:r>
      <w:r>
        <w:t xml:space="preserve"> </w:t>
      </w:r>
      <w:r>
        <w:rPr>
          <w:rStyle w:val="VerbatimChar"/>
        </w:rPr>
        <w:t xml:space="preserve">422^X</w:t>
      </w:r>
      <w:r>
        <w:t xml:space="preserve">,</w:t>
      </w:r>
      <w:r>
        <w:t xml:space="preserve"> </w:t>
      </w:r>
      <w:r>
        <w:rPr>
          <w:rStyle w:val="VerbatimChar"/>
        </w:rPr>
        <w:t xml:space="preserve">451^I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451^J</w:t>
      </w:r>
      <w:r>
        <w:t xml:space="preserve">,</w:t>
      </w:r>
      <w:r>
        <w:t xml:space="preserve"> </w:t>
      </w:r>
      <w:r>
        <w:rPr>
          <w:rStyle w:val="VerbatimChar"/>
        </w:rPr>
        <w:t xml:space="preserve">452^I</w:t>
      </w:r>
      <w:r>
        <w:t xml:space="preserve">,</w:t>
      </w:r>
      <w:r>
        <w:t xml:space="preserve"> </w:t>
      </w:r>
      <w:r>
        <w:rPr>
          <w:rStyle w:val="VerbatimChar"/>
        </w:rPr>
        <w:t xml:space="preserve">452^J</w:t>
      </w:r>
      <w:r>
        <w:t xml:space="preserve">,</w:t>
      </w:r>
      <w:r>
        <w:t xml:space="preserve"> </w:t>
      </w:r>
      <w:r>
        <w:rPr>
          <w:rStyle w:val="VerbatimChar"/>
        </w:rPr>
        <w:t xml:space="preserve">454^I</w:t>
      </w:r>
      <w:r>
        <w:t xml:space="preserve">,</w:t>
      </w:r>
      <w:r>
        <w:t xml:space="preserve"> </w:t>
      </w:r>
      <w:r>
        <w:rPr>
          <w:rStyle w:val="VerbatimChar"/>
        </w:rPr>
        <w:t xml:space="preserve">454^J</w:t>
      </w:r>
      <w:r>
        <w:t xml:space="preserve">,</w:t>
      </w:r>
      <w:r>
        <w:t xml:space="preserve"> </w:t>
      </w:r>
      <w:r>
        <w:rPr>
          <w:rStyle w:val="VerbatimChar"/>
        </w:rPr>
        <w:t xml:space="preserve">481^I</w:t>
      </w:r>
      <w:r>
        <w:t xml:space="preserve">,</w:t>
      </w:r>
      <w:r>
        <w:t xml:space="preserve"> </w:t>
      </w:r>
      <w:r>
        <w:rPr>
          <w:rStyle w:val="VerbatimChar"/>
        </w:rPr>
        <w:t xml:space="preserve">488^I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заглавие выпуска или части в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основное заглавие в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</w:t>
      </w:r>
    </w:p>
    <w:p>
      <w:pPr>
        <w:pStyle w:val="FirstParagraph"/>
      </w:pPr>
      <w:r>
        <w:t xml:space="preserve">Нормализация заглавий выполняет приведение строк через</w:t>
      </w:r>
      <w:r>
        <w:t xml:space="preserve"> </w:t>
      </w:r>
      <w:r>
        <w:rPr>
          <w:rStyle w:val="VerbatimChar"/>
        </w:rPr>
        <w:t xml:space="preserve">Normalisation::TextString</w:t>
      </w:r>
      <w:r>
        <w:t xml:space="preserve">: убирает лишние пробелы, выравнивает пробелы около знаков препинания и заменяет типографские кавычки на обычные двойные кавычки. Если исходное подполе пустое, этап его не добавляет.</w:t>
      </w:r>
    </w:p>
    <w:p>
      <w:pPr>
        <w:pStyle w:val="BodyText"/>
      </w:pPr>
      <w:r>
        <w:t xml:space="preserve">В параметрах модуля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для этапа 9 можно задать списки полей, которые всегда исключаются из записи-источника перед слиянием. Значения указываются номерами полей через запятую, например</w:t>
      </w:r>
      <w:r>
        <w:t xml:space="preserve"> </w:t>
      </w:r>
      <w:r>
        <w:rPr>
          <w:rStyle w:val="VerbatimChar"/>
        </w:rPr>
        <w:t xml:space="preserve">901,902,907</w:t>
      </w:r>
      <w:r>
        <w:t xml:space="preserve">. Если список оставить пустым, для этого типа записи не применяется дополнительное удаление полей.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Типы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stage9RemoveSpec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stage9RemovePazk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stage9RemoveJ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stage9RemoveNJ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stage9RemoveASP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stage9RemoveRDR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RDRU</w:t>
            </w:r>
          </w:p>
        </w:tc>
      </w:tr>
    </w:tbl>
    <w:p>
      <w:pPr>
        <w:pStyle w:val="BodyText"/>
      </w:pPr>
      <w:r>
        <w:t xml:space="preserve">Если поле указано в списке для типа записи, оно удаляется из нормализованной записи-источника и не участвует в последующем формировании сводной записи. Это удобно для локальных, служебных и временных полей, которые нужны в базе-источнике, но не должны переноситься в сводный каталог.</w:t>
      </w:r>
    </w:p>
    <w:p>
      <w:pPr>
        <w:pStyle w:val="BodyText"/>
      </w:pPr>
      <w:r>
        <w:t xml:space="preserve">До применения этих списков этап 9 также выполняет общую очистку служебных полей</w:t>
      </w:r>
      <w:r>
        <w:t xml:space="preserve"> </w:t>
      </w:r>
      <w:r>
        <w:rPr>
          <w:rStyle w:val="VerbatimChar"/>
        </w:rPr>
        <w:t xml:space="preserve">111</w:t>
      </w:r>
      <w:r>
        <w:t xml:space="preserve">,</w:t>
      </w:r>
      <w:r>
        <w:t xml:space="preserve"> </w:t>
      </w:r>
      <w:r>
        <w:rPr>
          <w:rStyle w:val="VerbatimChar"/>
        </w:rPr>
        <w:t xml:space="preserve">112</w:t>
      </w:r>
      <w:r>
        <w:t xml:space="preserve">,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943</w:t>
      </w:r>
      <w:r>
        <w:t xml:space="preserve">,</w:t>
      </w:r>
      <w:r>
        <w:t xml:space="preserve"> </w:t>
      </w:r>
      <w:r>
        <w:rPr>
          <w:rStyle w:val="VerbatimChar"/>
        </w:rPr>
        <w:t xml:space="preserve">991</w:t>
      </w:r>
      <w:r>
        <w:t xml:space="preserve">,</w:t>
      </w:r>
      <w:r>
        <w:t xml:space="preserve"> </w:t>
      </w:r>
      <w:r>
        <w:rPr>
          <w:rStyle w:val="VerbatimChar"/>
        </w:rPr>
        <w:t xml:space="preserve">992</w:t>
      </w:r>
      <w:r>
        <w:t xml:space="preserve">,</w:t>
      </w:r>
      <w:r>
        <w:t xml:space="preserve"> </w:t>
      </w:r>
      <w:r>
        <w:rPr>
          <w:rStyle w:val="VerbatimChar"/>
        </w:rPr>
        <w:t xml:space="preserve">994</w:t>
      </w:r>
      <w:r>
        <w:t xml:space="preserve">. Исключение составляют повторения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AUTH</w:t>
      </w:r>
      <w:r>
        <w:t xml:space="preserve">: они сохраняются и возвращаются в запись после общей очистки.</w:t>
      </w:r>
    </w:p>
    <w:p>
      <w:pPr>
        <w:pStyle w:val="BodyText"/>
      </w:pPr>
      <w:r>
        <w:t xml:space="preserve">Результат можно проверить на странице</w:t>
      </w:r>
      <w:r>
        <w:t xml:space="preserve"> </w:t>
      </w:r>
      <w:hyperlink r:id="rId13">
        <w:r>
          <w:rPr>
            <w:rStyle w:val="Hyperlink"/>
          </w:rPr>
          <w:t xml:space="preserve">Проверка состояния записи-источника по шифру</w:t>
        </w:r>
      </w:hyperlink>
      <w:r>
        <w:t xml:space="preserve">: в отчете отображаются исходная запись и нормализованная запись-источник.</w:t>
      </w:r>
    </w:p>
    <w:bookmarkEnd w:id="14"/>
    <w:bookmarkStart w:id="15" w:name="сводная-бд-по-типу-записи"/>
    <w:p>
      <w:pPr>
        <w:pStyle w:val="Heading2"/>
      </w:pPr>
      <w:r>
        <w:t xml:space="preserve">3. Сводная БД по типу записи</w:t>
      </w:r>
    </w:p>
    <w:p>
      <w:pPr>
        <w:pStyle w:val="FirstParagraph"/>
      </w:pPr>
      <w:r>
        <w:t xml:space="preserve">Сводная БД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записи-источника, которое сохраняется в столбце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таблицы слияний.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обрабатываются через сводную БД пользователей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обрабатывается через сводную БД мероприятий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Остальные поддерживаемые типы записей обрабатываются через сводную БД изданий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.</w:t>
      </w:r>
    </w:p>
    <w:p>
      <w:pPr>
        <w:pStyle w:val="FirstParagraph"/>
      </w:pPr>
      <w:r>
        <w:t xml:space="preserve">Для записей мероприятий на этапе 5 должен быть включен параметр</w:t>
      </w:r>
      <w:r>
        <w:t xml:space="preserve"> </w:t>
      </w:r>
      <w:r>
        <w:rPr>
          <w:rStyle w:val="VerbatimChar"/>
        </w:rPr>
        <w:t xml:space="preserve">useEVENT</w:t>
      </w:r>
      <w:r>
        <w:t xml:space="preserve">. Если он выключен, записи с</w:t>
      </w:r>
      <w:r>
        <w:t xml:space="preserve"> </w:t>
      </w:r>
      <w:r>
        <w:rPr>
          <w:rStyle w:val="VerbatimChar"/>
        </w:rPr>
        <w:t xml:space="preserve">920=Event</w:t>
      </w:r>
      <w:r>
        <w:t xml:space="preserve"> </w:t>
      </w:r>
      <w:r>
        <w:t xml:space="preserve">считаются неподдерживаемым типом и не переходят к штатной обработке.</w:t>
      </w:r>
    </w:p>
    <w:p>
      <w:pPr>
        <w:pStyle w:val="BodyText"/>
      </w:pPr>
      <w:r>
        <w:t xml:space="preserve">На этапе 5 для мероприятий проверяются ключевые поля записи: шифр в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тип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название в</w:t>
      </w:r>
      <w:r>
        <w:t xml:space="preserve"> </w:t>
      </w:r>
      <w:r>
        <w:rPr>
          <w:rStyle w:val="VerbatimChar"/>
        </w:rPr>
        <w:t xml:space="preserve">972^A</w:t>
      </w:r>
      <w:r>
        <w:t xml:space="preserve">, дата начала публикации в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и отсутствие признака пропуска публикации в</w:t>
      </w:r>
      <w:r>
        <w:t xml:space="preserve"> </w:t>
      </w:r>
      <w:r>
        <w:rPr>
          <w:rStyle w:val="VerbatimChar"/>
        </w:rPr>
        <w:t xml:space="preserve">972^Y</w:t>
      </w:r>
      <w:r>
        <w:t xml:space="preserve">. На этапе 9 из записи мероприятия удаляется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а шифр в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нормализуется от лишних пробелов.</w:t>
      </w:r>
    </w:p>
    <w:bookmarkEnd w:id="15"/>
    <w:bookmarkStart w:id="17" w:name="проверка-и-запуск"/>
    <w:p>
      <w:pPr>
        <w:pStyle w:val="Heading2"/>
      </w:pPr>
      <w:r>
        <w:t xml:space="preserve">4. Проверка и запуск</w:t>
      </w:r>
    </w:p>
    <w:p>
      <w:pPr>
        <w:pStyle w:val="FirstParagraph"/>
      </w:pPr>
      <w:r>
        <w:t xml:space="preserve">Если нужно проверить работу фоновых процессов или выполнить демонстрационный запуск, используйте таблицу слияний и состояние очереди задач. Панель таблицы слияний описана в разделе</w:t>
      </w:r>
      <w:r>
        <w:t xml:space="preserve"> </w:t>
      </w:r>
      <w:hyperlink r:id="rId16">
        <w:r>
          <w:rPr>
            <w:rStyle w:val="Hyperlink"/>
          </w:rPr>
          <w:t xml:space="preserve">Таблица слияний</w:t>
        </w:r>
      </w:hyperlink>
      <w:r>
        <w:t xml:space="preserve">.</w:t>
      </w:r>
    </w:p>
    <w:p>
      <w:pPr>
        <w:pStyle w:val="BodyText"/>
      </w:pPr>
      <w:r>
        <w:t xml:space="preserve">Для штатного запуска сборки сводного каталога параметр</w:t>
      </w:r>
      <w:r>
        <w:t xml:space="preserve"> </w:t>
      </w:r>
      <w:r>
        <w:t xml:space="preserve">“Приостановить создание сводного каталога”</w:t>
      </w:r>
      <w:r>
        <w:t xml:space="preserve"> </w:t>
      </w:r>
      <w:r>
        <w:t xml:space="preserve">должен быть установлен в значение</w:t>
      </w:r>
      <w:r>
        <w:t xml:space="preserve"> </w:t>
      </w:r>
      <w:r>
        <w:t xml:space="preserve">“нет”</w:t>
      </w:r>
      <w:r>
        <w:t xml:space="preserve">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6" Target="?id=Help/Show&amp;m=CSpider/Admin/LinkDbInfo" TargetMode="External" /><Relationship Type="http://schemas.openxmlformats.org/officeDocument/2006/relationships/hyperlink" Id="rId11" Target="?id=Help/Show&amp;m=CSpider/Admin/LinkWithEsvodt" TargetMode="External" /><Relationship Type="http://schemas.openxmlformats.org/officeDocument/2006/relationships/hyperlink" Id="rId10" Target="?id=Help/Show&amp;m=Help/Module/ConfigParameters&amp;module=CSpider" TargetMode="External" /><Relationship Type="http://schemas.openxmlformats.org/officeDocument/2006/relationships/hyperlink" Id="rId9" Target="?id=Help/Show&amp;m=Help/ModuleRoot&amp;module=CSpi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6" Target="?id=Help/Show&amp;m=CSpider/Admin/LinkDbInfo" TargetMode="External" /><Relationship Type="http://schemas.openxmlformats.org/officeDocument/2006/relationships/hyperlink" Id="rId11" Target="?id=Help/Show&amp;m=CSpider/Admin/LinkWithEsvodt" TargetMode="External" /><Relationship Type="http://schemas.openxmlformats.org/officeDocument/2006/relationships/hyperlink" Id="rId10" Target="?id=Help/Show&amp;m=Help/Module/ConfigParameters&amp;module=CSpider" TargetMode="External" /><Relationship Type="http://schemas.openxmlformats.org/officeDocument/2006/relationships/hyperlink" Id="rId9" Target="?id=Help/Show&amp;m=Help/ModuleRoot&amp;module=CSpi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Обработка записей-источников</dc:title>
  <dc:creator/>
  <cp:keywords/>
  <dcterms:created xsi:type="dcterms:W3CDTF">2026-09-01T00:16:45Z</dcterms:created>
  <dcterms:modified xsi:type="dcterms:W3CDTF">2026-09-01T00:16:45Z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