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2.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Управление правами доступа</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21" w:name="управление-правами-доступа"/>
    <w:p>
      <w:pPr>
        <w:pStyle w:val="Heading1"/>
      </w:pPr>
      <w:r>
        <w:t xml:space="preserve">Управление правами доступа</w:t>
      </w:r>
    </w:p>
    <w:p>
      <w:pPr>
        <w:pStyle w:val="FirstParagraph"/>
      </w:pPr>
      <w:r>
        <w:t xml:space="preserve">АРМ «Администратор» использует общую подсистему</w:t>
      </w:r>
      <w:r>
        <w:t xml:space="preserve"> </w:t>
      </w:r>
      <w:r>
        <w:rPr>
          <w:rStyle w:val="VerbatimChar"/>
        </w:rPr>
        <w:t xml:space="preserve">Security</w:t>
      </w:r>
      <w:r>
        <w:t xml:space="preserve"> </w:t>
      </w:r>
      <w:r>
        <w:t xml:space="preserve">для настройки прав на модули, страницы и объектные записи системы. Этот раздел заменяет устаревшее описание «политики безопасности» из старого руководства АИБ в той части, которая относится к текущему механизму прав ИРБИС 128.</w:t>
      </w:r>
    </w:p>
    <w:bookmarkStart w:id="9" w:name="где-хранятся-права"/>
    <w:p>
      <w:pPr>
        <w:pStyle w:val="Heading2"/>
      </w:pPr>
      <w:r>
        <w:t xml:space="preserve">1. Где хранятся права</w:t>
      </w:r>
    </w:p>
    <w:p>
      <w:pPr>
        <w:pStyle w:val="FirstParagraph"/>
      </w:pPr>
      <w:r>
        <w:t xml:space="preserve">Права объекта хранятся в поле</w:t>
      </w:r>
      <w:r>
        <w:t xml:space="preserve"> </w:t>
      </w:r>
      <w:r>
        <w:rPr>
          <w:rStyle w:val="VerbatimChar"/>
        </w:rPr>
        <w:t xml:space="preserve">113</w:t>
      </w:r>
      <w:r>
        <w:t xml:space="preserve"> </w:t>
      </w:r>
      <w:r>
        <w:t xml:space="preserve">его записи. В этом поле система фиксирует:</w:t>
      </w:r>
    </w:p>
    <w:p>
      <w:pPr>
        <w:pStyle w:val="Compact"/>
        <w:numPr>
          <w:ilvl w:val="0"/>
          <w:numId w:val="1001"/>
        </w:numPr>
      </w:pPr>
      <w:r>
        <w:t xml:space="preserve">системный идентификатор объекта (</w:t>
      </w:r>
      <w:r>
        <w:rPr>
          <w:rStyle w:val="VerbatimChar"/>
        </w:rPr>
        <w:t xml:space="preserve">SID</w:t>
      </w:r>
      <w:r>
        <w:t xml:space="preserve">);</w:t>
      </w:r>
    </w:p>
    <w:p>
      <w:pPr>
        <w:pStyle w:val="Compact"/>
        <w:numPr>
          <w:ilvl w:val="0"/>
          <w:numId w:val="1001"/>
        </w:numPr>
      </w:pPr>
      <w:r>
        <w:t xml:space="preserve">владельца объекта (</w:t>
      </w:r>
      <w:r>
        <w:rPr>
          <w:rStyle w:val="VerbatimChar"/>
        </w:rPr>
        <w:t xml:space="preserve">OSID</w:t>
      </w:r>
      <w:r>
        <w:t xml:space="preserve">);</w:t>
      </w:r>
    </w:p>
    <w:p>
      <w:pPr>
        <w:pStyle w:val="Compact"/>
        <w:numPr>
          <w:ilvl w:val="0"/>
          <w:numId w:val="1001"/>
        </w:numPr>
      </w:pPr>
      <w:r>
        <w:t xml:space="preserve">признаки наследования прав от вышестоящего объекта;</w:t>
      </w:r>
    </w:p>
    <w:p>
      <w:pPr>
        <w:pStyle w:val="Compact"/>
        <w:numPr>
          <w:ilvl w:val="0"/>
          <w:numId w:val="1001"/>
        </w:numPr>
      </w:pPr>
      <w:r>
        <w:t xml:space="preserve">правила доступа (</w:t>
      </w:r>
      <w:r>
        <w:rPr>
          <w:rStyle w:val="VerbatimChar"/>
        </w:rPr>
        <w:t xml:space="preserve">SEC</w:t>
      </w:r>
      <w:r>
        <w:t xml:space="preserve">) для групп, ролей, пользователей, IP-адресов и других субъектов безопасности.</w:t>
      </w:r>
    </w:p>
    <w:p>
      <w:pPr>
        <w:pStyle w:val="FirstParagraph"/>
      </w:pPr>
      <w:r>
        <w:t xml:space="preserve">При создании объекта подсистема</w:t>
      </w:r>
      <w:r>
        <w:t xml:space="preserve"> </w:t>
      </w:r>
      <w:r>
        <w:rPr>
          <w:rStyle w:val="VerbatimChar"/>
        </w:rPr>
        <w:t xml:space="preserve">Security</w:t>
      </w:r>
      <w:r>
        <w:t xml:space="preserve"> </w:t>
      </w:r>
      <w:r>
        <w:t xml:space="preserve">обеспечивает наличие</w:t>
      </w:r>
      <w:r>
        <w:t xml:space="preserve"> </w:t>
      </w:r>
      <w:r>
        <w:rPr>
          <w:rStyle w:val="VerbatimChar"/>
        </w:rPr>
        <w:t xml:space="preserve">SID</w:t>
      </w:r>
      <w:r>
        <w:t xml:space="preserve"> </w:t>
      </w:r>
      <w:r>
        <w:t xml:space="preserve">и начального набора прав. Если объект наследует права, наследуемые правила добавляются с признаком родительского правила.</w:t>
      </w:r>
    </w:p>
    <w:bookmarkEnd w:id="9"/>
    <w:bookmarkStart w:id="10" w:name="базовые-права-объекта"/>
    <w:p>
      <w:pPr>
        <w:pStyle w:val="Heading2"/>
      </w:pPr>
      <w:r>
        <w:t xml:space="preserve">2. Базовые права объекта</w:t>
      </w:r>
    </w:p>
    <w:p>
      <w:pPr>
        <w:pStyle w:val="FirstParagraph"/>
      </w:pPr>
      <w:r>
        <w:t xml:space="preserve">Набор прав зависит от модуля, но для большинства объектных записей используются общие права:</w:t>
      </w:r>
    </w:p>
    <w:p>
      <w:pPr>
        <w:pStyle w:val="Compact"/>
        <w:numPr>
          <w:ilvl w:val="0"/>
          <w:numId w:val="1002"/>
        </w:numPr>
      </w:pPr>
      <w:r>
        <w:rPr>
          <w:rStyle w:val="VerbatimChar"/>
        </w:rPr>
        <w:t xml:space="preserve">VIEW</w:t>
      </w:r>
      <w:r>
        <w:t xml:space="preserve"> </w:t>
      </w:r>
      <w:r>
        <w:t xml:space="preserve">- просмотр объекта;</w:t>
      </w:r>
    </w:p>
    <w:p>
      <w:pPr>
        <w:pStyle w:val="Compact"/>
        <w:numPr>
          <w:ilvl w:val="0"/>
          <w:numId w:val="1002"/>
        </w:numPr>
      </w:pPr>
      <w:r>
        <w:rPr>
          <w:rStyle w:val="VerbatimChar"/>
        </w:rPr>
        <w:t xml:space="preserve">EDIT</w:t>
      </w:r>
      <w:r>
        <w:t xml:space="preserve"> </w:t>
      </w:r>
      <w:r>
        <w:t xml:space="preserve">- редактирование объекта;</w:t>
      </w:r>
    </w:p>
    <w:p>
      <w:pPr>
        <w:pStyle w:val="Compact"/>
        <w:numPr>
          <w:ilvl w:val="0"/>
          <w:numId w:val="1002"/>
        </w:numPr>
      </w:pPr>
      <w:r>
        <w:rPr>
          <w:rStyle w:val="VerbatimChar"/>
        </w:rPr>
        <w:t xml:space="preserve">DELETE</w:t>
      </w:r>
      <w:r>
        <w:t xml:space="preserve"> </w:t>
      </w:r>
      <w:r>
        <w:t xml:space="preserve">- удаление объекта;</w:t>
      </w:r>
    </w:p>
    <w:p>
      <w:pPr>
        <w:pStyle w:val="Compact"/>
        <w:numPr>
          <w:ilvl w:val="0"/>
          <w:numId w:val="1002"/>
        </w:numPr>
      </w:pPr>
      <w:r>
        <w:rPr>
          <w:rStyle w:val="VerbatimChar"/>
        </w:rPr>
        <w:t xml:space="preserve">ADDSUB</w:t>
      </w:r>
      <w:r>
        <w:t xml:space="preserve"> </w:t>
      </w:r>
      <w:r>
        <w:t xml:space="preserve">- создание дочерних объектов;</w:t>
      </w:r>
    </w:p>
    <w:p>
      <w:pPr>
        <w:pStyle w:val="Compact"/>
        <w:numPr>
          <w:ilvl w:val="0"/>
          <w:numId w:val="1002"/>
        </w:numPr>
      </w:pPr>
      <w:r>
        <w:rPr>
          <w:rStyle w:val="VerbatimChar"/>
        </w:rPr>
        <w:t xml:space="preserve">VIEWRIGHTS</w:t>
      </w:r>
      <w:r>
        <w:t xml:space="preserve"> </w:t>
      </w:r>
      <w:r>
        <w:t xml:space="preserve">- просмотр назначенных прав;</w:t>
      </w:r>
    </w:p>
    <w:p>
      <w:pPr>
        <w:pStyle w:val="Compact"/>
        <w:numPr>
          <w:ilvl w:val="0"/>
          <w:numId w:val="1002"/>
        </w:numPr>
      </w:pPr>
      <w:r>
        <w:rPr>
          <w:rStyle w:val="VerbatimChar"/>
        </w:rPr>
        <w:t xml:space="preserve">EDITRIGHTS</w:t>
      </w:r>
      <w:r>
        <w:t xml:space="preserve"> </w:t>
      </w:r>
      <w:r>
        <w:t xml:space="preserve">- изменение режима наследования и локализация прав;</w:t>
      </w:r>
    </w:p>
    <w:p>
      <w:pPr>
        <w:pStyle w:val="Compact"/>
        <w:numPr>
          <w:ilvl w:val="0"/>
          <w:numId w:val="1002"/>
        </w:numPr>
      </w:pPr>
      <w:r>
        <w:rPr>
          <w:rStyle w:val="VerbatimChar"/>
        </w:rPr>
        <w:t xml:space="preserve">ADDRIGHTS</w:t>
      </w:r>
      <w:r>
        <w:t xml:space="preserve"> </w:t>
      </w:r>
      <w:r>
        <w:t xml:space="preserve">- добавление или разрешение прав;</w:t>
      </w:r>
    </w:p>
    <w:p>
      <w:pPr>
        <w:pStyle w:val="Compact"/>
        <w:numPr>
          <w:ilvl w:val="0"/>
          <w:numId w:val="1002"/>
        </w:numPr>
      </w:pPr>
      <w:r>
        <w:rPr>
          <w:rStyle w:val="VerbatimChar"/>
        </w:rPr>
        <w:t xml:space="preserve">DELETERIGHTS</w:t>
      </w:r>
      <w:r>
        <w:t xml:space="preserve"> </w:t>
      </w:r>
      <w:r>
        <w:t xml:space="preserve">- удаление или запрет прав.</w:t>
      </w:r>
    </w:p>
    <w:p>
      <w:pPr>
        <w:pStyle w:val="FirstParagraph"/>
      </w:pPr>
      <w:r>
        <w:t xml:space="preserve">Отдельные модули могут расширять этот список собственными правами. Например, модуль электронной библиотеки добавляет права на скачивание, печать, OCR и специальные операции с документами.</w:t>
      </w:r>
    </w:p>
    <w:bookmarkEnd w:id="10"/>
    <w:bookmarkStart w:id="11" w:name="субъекты-безопасности"/>
    <w:p>
      <w:pPr>
        <w:pStyle w:val="Heading2"/>
      </w:pPr>
      <w:r>
        <w:t xml:space="preserve">3. Субъекты безопасности</w:t>
      </w:r>
    </w:p>
    <w:p>
      <w:pPr>
        <w:pStyle w:val="FirstParagraph"/>
      </w:pPr>
      <w:r>
        <w:t xml:space="preserve">Типы субъектов безопасности задаются файлами</w:t>
      </w:r>
      <w:r>
        <w:t xml:space="preserve"> </w:t>
      </w:r>
      <w:r>
        <w:rPr>
          <w:rStyle w:val="VerbatimChar"/>
        </w:rPr>
        <w:t xml:space="preserve">.gtc</w:t>
      </w:r>
      <w:r>
        <w:t xml:space="preserve"> </w:t>
      </w:r>
      <w:r>
        <w:t xml:space="preserve">в модуле</w:t>
      </w:r>
      <w:r>
        <w:t xml:space="preserve"> </w:t>
      </w:r>
      <w:r>
        <w:rPr>
          <w:rStyle w:val="VerbatimChar"/>
        </w:rPr>
        <w:t xml:space="preserve">Security</w:t>
      </w:r>
      <w:r>
        <w:t xml:space="preserve">. В текущей поставке используются, в частности:</w:t>
      </w:r>
    </w:p>
    <w:p>
      <w:pPr>
        <w:pStyle w:val="Compact"/>
        <w:numPr>
          <w:ilvl w:val="0"/>
          <w:numId w:val="1003"/>
        </w:numPr>
      </w:pPr>
      <w:r>
        <w:rPr>
          <w:rStyle w:val="VerbatimChar"/>
        </w:rPr>
        <w:t xml:space="preserve">SITESPEC</w:t>
      </w:r>
      <w:r>
        <w:t xml:space="preserve"> </w:t>
      </w:r>
      <w:r>
        <w:t xml:space="preserve">- системные роли сайта, включая роль</w:t>
      </w:r>
      <w:r>
        <w:t xml:space="preserve"> </w:t>
      </w:r>
      <w:r>
        <w:rPr>
          <w:rStyle w:val="VerbatimChar"/>
        </w:rPr>
        <w:t xml:space="preserve">ADMIN</w:t>
      </w:r>
      <w:r>
        <w:t xml:space="preserve">;</w:t>
      </w:r>
    </w:p>
    <w:p>
      <w:pPr>
        <w:pStyle w:val="Compact"/>
        <w:numPr>
          <w:ilvl w:val="0"/>
          <w:numId w:val="1003"/>
        </w:numPr>
      </w:pPr>
      <w:r>
        <w:rPr>
          <w:rStyle w:val="VerbatimChar"/>
        </w:rPr>
        <w:t xml:space="preserve">GROUP</w:t>
      </w:r>
      <w:r>
        <w:t xml:space="preserve"> </w:t>
      </w:r>
      <w:r>
        <w:t xml:space="preserve">- пользовательские группы;</w:t>
      </w:r>
    </w:p>
    <w:p>
      <w:pPr>
        <w:pStyle w:val="Compact"/>
        <w:numPr>
          <w:ilvl w:val="0"/>
          <w:numId w:val="1003"/>
        </w:numPr>
      </w:pPr>
      <w:r>
        <w:rPr>
          <w:rStyle w:val="VerbatimChar"/>
        </w:rPr>
        <w:t xml:space="preserve">LOGIN</w:t>
      </w:r>
      <w:r>
        <w:t xml:space="preserve"> </w:t>
      </w:r>
      <w:r>
        <w:t xml:space="preserve">- конкретный логин пользователя;</w:t>
      </w:r>
    </w:p>
    <w:p>
      <w:pPr>
        <w:pStyle w:val="Compact"/>
        <w:numPr>
          <w:ilvl w:val="0"/>
          <w:numId w:val="1003"/>
        </w:numPr>
      </w:pPr>
      <w:r>
        <w:rPr>
          <w:rStyle w:val="VerbatimChar"/>
        </w:rPr>
        <w:t xml:space="preserve">LDAPGROUP</w:t>
      </w:r>
      <w:r>
        <w:t xml:space="preserve"> </w:t>
      </w:r>
      <w:r>
        <w:t xml:space="preserve">- группа безопасности LDAP;</w:t>
      </w:r>
    </w:p>
    <w:p>
      <w:pPr>
        <w:pStyle w:val="Compact"/>
        <w:numPr>
          <w:ilvl w:val="0"/>
          <w:numId w:val="1003"/>
        </w:numPr>
      </w:pPr>
      <w:r>
        <w:rPr>
          <w:rStyle w:val="VerbatimChar"/>
        </w:rPr>
        <w:t xml:space="preserve">IP</w:t>
      </w:r>
      <w:r>
        <w:t xml:space="preserve"> </w:t>
      </w:r>
      <w:r>
        <w:t xml:space="preserve">- IP-адрес или сеть;</w:t>
      </w:r>
    </w:p>
    <w:p>
      <w:pPr>
        <w:pStyle w:val="Compact"/>
        <w:numPr>
          <w:ilvl w:val="0"/>
          <w:numId w:val="1003"/>
        </w:numPr>
      </w:pPr>
      <w:r>
        <w:rPr>
          <w:rStyle w:val="VerbatimChar"/>
        </w:rPr>
        <w:t xml:space="preserve">BROWSERUSERAGENT</w:t>
      </w:r>
      <w:r>
        <w:t xml:space="preserve"> </w:t>
      </w:r>
      <w:r>
        <w:t xml:space="preserve">- браузер или пользовательский агент;</w:t>
      </w:r>
    </w:p>
    <w:p>
      <w:pPr>
        <w:pStyle w:val="Compact"/>
        <w:numPr>
          <w:ilvl w:val="0"/>
          <w:numId w:val="1003"/>
        </w:numPr>
      </w:pPr>
      <w:r>
        <w:rPr>
          <w:rStyle w:val="VerbatimChar"/>
        </w:rPr>
        <w:t xml:space="preserve">DOMENS</w:t>
      </w:r>
      <w:r>
        <w:t xml:space="preserve"> </w:t>
      </w:r>
      <w:r>
        <w:t xml:space="preserve">- домен;</w:t>
      </w:r>
    </w:p>
    <w:p>
      <w:pPr>
        <w:pStyle w:val="Compact"/>
        <w:numPr>
          <w:ilvl w:val="0"/>
          <w:numId w:val="1003"/>
        </w:numPr>
      </w:pPr>
      <w:r>
        <w:t xml:space="preserve">справочные группы читателей:</w:t>
      </w:r>
      <w:r>
        <w:t xml:space="preserve"> </w:t>
      </w:r>
      <w:r>
        <w:rPr>
          <w:rStyle w:val="VerbatimChar"/>
        </w:rPr>
        <w:t xml:space="preserve">CHB</w:t>
      </w:r>
      <w:r>
        <w:t xml:space="preserve">,</w:t>
      </w:r>
      <w:r>
        <w:t xml:space="preserve"> </w:t>
      </w:r>
      <w:r>
        <w:rPr>
          <w:rStyle w:val="VerbatimChar"/>
        </w:rPr>
        <w:t xml:space="preserve">FO</w:t>
      </w:r>
      <w:r>
        <w:t xml:space="preserve">,</w:t>
      </w:r>
      <w:r>
        <w:t xml:space="preserve"> </w:t>
      </w:r>
      <w:r>
        <w:rPr>
          <w:rStyle w:val="VerbatimChar"/>
        </w:rPr>
        <w:t xml:space="preserve">FACULTY</w:t>
      </w:r>
      <w:r>
        <w:t xml:space="preserve">,</w:t>
      </w:r>
      <w:r>
        <w:t xml:space="preserve"> </w:t>
      </w:r>
      <w:r>
        <w:rPr>
          <w:rStyle w:val="VerbatimChar"/>
        </w:rPr>
        <w:t xml:space="preserve">KAT</w:t>
      </w:r>
      <w:r>
        <w:t xml:space="preserve">,</w:t>
      </w:r>
      <w:r>
        <w:t xml:space="preserve"> </w:t>
      </w:r>
      <w:r>
        <w:rPr>
          <w:rStyle w:val="VerbatimChar"/>
        </w:rPr>
        <w:t xml:space="preserve">MRAB</w:t>
      </w:r>
      <w:r>
        <w:t xml:space="preserve">,</w:t>
      </w:r>
      <w:r>
        <w:t xml:space="preserve"> </w:t>
      </w:r>
      <w:r>
        <w:rPr>
          <w:rStyle w:val="VerbatimChar"/>
        </w:rPr>
        <w:t xml:space="preserve">NAPR</w:t>
      </w:r>
      <w:r>
        <w:t xml:space="preserve">,</w:t>
      </w:r>
      <w:r>
        <w:t xml:space="preserve"> </w:t>
      </w:r>
      <w:r>
        <w:rPr>
          <w:rStyle w:val="VerbatimChar"/>
        </w:rPr>
        <w:t xml:space="preserve">SEM</w:t>
      </w:r>
      <w:r>
        <w:t xml:space="preserve">,</w:t>
      </w:r>
      <w:r>
        <w:t xml:space="preserve"> </w:t>
      </w:r>
      <w:r>
        <w:rPr>
          <w:rStyle w:val="VerbatimChar"/>
        </w:rPr>
        <w:t xml:space="preserve">SPEC</w:t>
      </w:r>
      <w:r>
        <w:t xml:space="preserve">,</w:t>
      </w:r>
      <w:r>
        <w:t xml:space="preserve"> </w:t>
      </w:r>
      <w:r>
        <w:rPr>
          <w:rStyle w:val="VerbatimChar"/>
        </w:rPr>
        <w:t xml:space="preserve">VO</w:t>
      </w:r>
      <w:r>
        <w:t xml:space="preserve">,</w:t>
      </w:r>
      <w:r>
        <w:t xml:space="preserve"> </w:t>
      </w:r>
      <w:r>
        <w:rPr>
          <w:rStyle w:val="VerbatimChar"/>
        </w:rPr>
        <w:t xml:space="preserve">SITESPEC</w:t>
      </w:r>
      <w:r>
        <w:t xml:space="preserve">.</w:t>
      </w:r>
    </w:p>
    <w:p>
      <w:pPr>
        <w:pStyle w:val="FirstParagraph"/>
      </w:pPr>
      <w:r>
        <w:t xml:space="preserve">Часть типов получает значения из справочников базы читателей, поэтому доступный список зависит от наполнения локальной базы и настроек организации.</w:t>
      </w:r>
    </w:p>
    <w:bookmarkEnd w:id="11"/>
    <w:bookmarkStart w:id="15" w:name="назначение-ролей-пользователю"/>
    <w:p>
      <w:pPr>
        <w:pStyle w:val="Heading2"/>
      </w:pPr>
      <w:r>
        <w:t xml:space="preserve">4. Назначение ролей пользователю</w:t>
      </w:r>
    </w:p>
    <w:p>
      <w:pPr>
        <w:pStyle w:val="FirstParagraph"/>
      </w:pPr>
      <w:r>
        <w:t xml:space="preserve">В окне учётных данных и прав пользователя роли выводятся по отображаемому названию. Это помогает администратору работать с большим списком ролей: нужную роль можно искать по алфавитному порядку, не просматривая несортированный перечень вручную.</w:t>
      </w:r>
    </w:p>
    <w:p>
      <w:pPr>
        <w:pStyle w:val="BodyText"/>
      </w:pPr>
      <w:r>
        <w:t xml:space="preserve">Флажок каждой роли расположен слева от названия. Отметьте роли, которые нужно назначить пользователю, и сохраните форму кнопкой</w:t>
      </w:r>
      <w:r>
        <w:t xml:space="preserve"> </w:t>
      </w:r>
      <w:r>
        <w:rPr>
          <w:rStyle w:val="VerbatimChar"/>
        </w:rPr>
        <w:t xml:space="preserve">Ok</w:t>
      </w:r>
      <w:r>
        <w:t xml:space="preserve">. Если роль уже назначена, её флажок открыт сразу при загрузке окна.</w:t>
      </w:r>
    </w:p>
    <w:p>
      <w:pPr>
        <w:pStyle w:val="CaptionedFigure"/>
      </w:pPr>
      <w:r>
        <w:drawing>
          <wp:inline>
            <wp:extent cx="5334000" cy="5049520"/>
            <wp:effectExtent b="0" l="0" r="0" t="0"/>
            <wp:docPr descr="Рисунок 1 - Отсортированный список ролей в окне учётных данных и прав пользователя" title="Отсортированный список ролей в окне учётных данных и прав пользователя" id="13" name="Picture"/>
            <a:graphic>
              <a:graphicData uri="http://schemas.openxmlformats.org/drawingml/2006/picture">
                <pic:pic>
                  <pic:nvPicPr>
                    <pic:cNvPr descr="modules/Admin/Help/img/access-rights-user-roles.png" id="14" name="Picture"/>
                    <pic:cNvPicPr>
                      <a:picLocks noChangeArrowheads="1" noChangeAspect="1"/>
                    </pic:cNvPicPr>
                  </pic:nvPicPr>
                  <pic:blipFill>
                    <a:blip r:embed="rId12"/>
                    <a:stretch>
                      <a:fillRect/>
                    </a:stretch>
                  </pic:blipFill>
                  <pic:spPr bwMode="auto">
                    <a:xfrm>
                      <a:off x="0" y="0"/>
                      <a:ext cx="5334000" cy="5049520"/>
                    </a:xfrm>
                    <a:prstGeom prst="rect">
                      <a:avLst/>
                    </a:prstGeom>
                    <a:noFill/>
                    <a:ln w="9525">
                      <a:noFill/>
                      <a:headEnd/>
                      <a:tailEnd/>
                    </a:ln>
                  </pic:spPr>
                </pic:pic>
              </a:graphicData>
            </a:graphic>
          </wp:inline>
        </w:drawing>
      </w:r>
    </w:p>
    <w:p>
      <w:pPr>
        <w:pStyle w:val="ImageCaption"/>
      </w:pPr>
      <w:r>
        <w:t xml:space="preserve">Рисунок 1 - Отсортированный список ролей в окне учётных данных и прав пользователя</w:t>
      </w:r>
    </w:p>
    <w:bookmarkEnd w:id="15"/>
    <w:bookmarkStart w:id="17" w:name="наследование-прав"/>
    <w:p>
      <w:pPr>
        <w:pStyle w:val="Heading2"/>
      </w:pPr>
      <w:r>
        <w:t xml:space="preserve">5. Наследование прав</w:t>
      </w:r>
    </w:p>
    <w:p>
      <w:pPr>
        <w:pStyle w:val="FirstParagraph"/>
      </w:pPr>
      <w:r>
        <w:t xml:space="preserve">Права могут наследоваться от владельца объекта. Это используется для модулей, страниц, вложенных объектов и документов, где дочерний объект должен повторять правила родительского.</w:t>
      </w:r>
    </w:p>
    <w:p>
      <w:pPr>
        <w:pStyle w:val="BodyText"/>
      </w:pPr>
      <w:r>
        <w:t xml:space="preserve">В административном интерфейсе доступны операции:</w:t>
      </w:r>
    </w:p>
    <w:p>
      <w:pPr>
        <w:pStyle w:val="Compact"/>
        <w:numPr>
          <w:ilvl w:val="0"/>
          <w:numId w:val="1004"/>
        </w:numPr>
      </w:pPr>
      <w:r>
        <w:t xml:space="preserve">открыть окно прав объекта (</w:t>
      </w:r>
      <w:r>
        <w:rPr>
          <w:rStyle w:val="VerbatimChar"/>
        </w:rPr>
        <w:t xml:space="preserve">Admin/GetSecWindow</w:t>
      </w:r>
      <w:r>
        <w:t xml:space="preserve">);</w:t>
      </w:r>
    </w:p>
    <w:p>
      <w:pPr>
        <w:pStyle w:val="Compact"/>
        <w:numPr>
          <w:ilvl w:val="0"/>
          <w:numId w:val="1004"/>
        </w:numPr>
      </w:pPr>
      <w:r>
        <w:t xml:space="preserve">добавить или изменить правила (</w:t>
      </w:r>
      <w:r>
        <w:rPr>
          <w:rStyle w:val="VerbatimChar"/>
        </w:rPr>
        <w:t xml:space="preserve">Admin/SecAddProps</w:t>
      </w:r>
      <w:r>
        <w:t xml:space="preserve">);</w:t>
      </w:r>
    </w:p>
    <w:p>
      <w:pPr>
        <w:pStyle w:val="Compact"/>
        <w:numPr>
          <w:ilvl w:val="0"/>
          <w:numId w:val="1004"/>
        </w:numPr>
      </w:pPr>
      <w:r>
        <w:t xml:space="preserve">удалить правила (</w:t>
      </w:r>
      <w:r>
        <w:rPr>
          <w:rStyle w:val="VerbatimChar"/>
        </w:rPr>
        <w:t xml:space="preserve">Admin/SecDel</w:t>
      </w:r>
      <w:r>
        <w:t xml:space="preserve">);</w:t>
      </w:r>
    </w:p>
    <w:p>
      <w:pPr>
        <w:pStyle w:val="Compact"/>
        <w:numPr>
          <w:ilvl w:val="0"/>
          <w:numId w:val="1004"/>
        </w:numPr>
      </w:pPr>
      <w:r>
        <w:t xml:space="preserve">включить или отключить наследование (</w:t>
      </w:r>
      <w:r>
        <w:rPr>
          <w:rStyle w:val="VerbatimChar"/>
        </w:rPr>
        <w:t xml:space="preserve">Admin/SecToggleInheritance</w:t>
      </w:r>
      <w:r>
        <w:t xml:space="preserve">);</w:t>
      </w:r>
    </w:p>
    <w:p>
      <w:pPr>
        <w:pStyle w:val="Compact"/>
        <w:numPr>
          <w:ilvl w:val="0"/>
          <w:numId w:val="1004"/>
        </w:numPr>
      </w:pPr>
      <w:r>
        <w:t xml:space="preserve">локализовать наследуемые правила (</w:t>
      </w:r>
      <w:r>
        <w:rPr>
          <w:rStyle w:val="VerbatimChar"/>
        </w:rPr>
        <w:t xml:space="preserve">Admin/SecMakeLocal</w:t>
      </w:r>
      <w:r>
        <w:t xml:space="preserve">);</w:t>
      </w:r>
    </w:p>
    <w:p>
      <w:pPr>
        <w:pStyle w:val="Compact"/>
        <w:numPr>
          <w:ilvl w:val="0"/>
          <w:numId w:val="1004"/>
        </w:numPr>
      </w:pPr>
      <w:r>
        <w:t xml:space="preserve">пересчитать права дочернего дерева (</w:t>
      </w:r>
      <w:r>
        <w:rPr>
          <w:rStyle w:val="VerbatimChar"/>
        </w:rPr>
        <w:t xml:space="preserve">Admin/SecUpdateChildTree</w:t>
      </w:r>
      <w:r>
        <w:t xml:space="preserve">).</w:t>
      </w:r>
    </w:p>
    <w:p>
      <w:pPr>
        <w:pStyle w:val="FirstParagraph"/>
      </w:pPr>
      <w:r>
        <w:t xml:space="preserve">При изменении прав для объекта с дочерними элементами система ставит фоновую задачу на обновление дочерних прав через модуль</w:t>
      </w:r>
      <w:r>
        <w:t xml:space="preserve"> </w:t>
      </w:r>
      <w:r>
        <w:rPr>
          <w:rStyle w:val="VerbatimChar"/>
        </w:rPr>
        <w:t xml:space="preserve">Queue</w:t>
      </w:r>
      <w:r>
        <w:t xml:space="preserve">.</w:t>
      </w:r>
    </w:p>
    <w:bookmarkStart w:id="16" w:name="локализация-наследуемых-прав"/>
    <w:p>
      <w:pPr>
        <w:pStyle w:val="Heading3"/>
      </w:pPr>
      <w:r>
        <w:t xml:space="preserve">5.1. Локализация наследуемых прав</w:t>
      </w:r>
    </w:p>
    <w:p>
      <w:pPr>
        <w:pStyle w:val="FirstParagraph"/>
      </w:pPr>
      <w:r>
        <w:t xml:space="preserve">Наследуемое право можно сделать локальным, если нужно оставить на текущем объекте то же разрешение или запрет, но больше не получать обновления этого правила от владельца объекта. Например, это удобно, когда дочерняя страница или объект должны сохранить текущее право</w:t>
      </w:r>
      <w:r>
        <w:t xml:space="preserve"> </w:t>
      </w:r>
      <w:r>
        <w:rPr>
          <w:rStyle w:val="VerbatimChar"/>
        </w:rPr>
        <w:t xml:space="preserve">VIEW</w:t>
      </w:r>
      <w:r>
        <w:t xml:space="preserve">,</w:t>
      </w:r>
      <w:r>
        <w:t xml:space="preserve"> </w:t>
      </w:r>
      <w:r>
        <w:rPr>
          <w:rStyle w:val="VerbatimChar"/>
        </w:rPr>
        <w:t xml:space="preserve">EDIT</w:t>
      </w:r>
      <w:r>
        <w:t xml:space="preserve"> </w:t>
      </w:r>
      <w:r>
        <w:t xml:space="preserve">или другое правило даже после будущего изменения прав на родительском объекте.</w:t>
      </w:r>
    </w:p>
    <w:p>
      <w:pPr>
        <w:pStyle w:val="BodyText"/>
      </w:pPr>
      <w:r>
        <w:t xml:space="preserve">Чтобы локализовать право:</w:t>
      </w:r>
    </w:p>
    <w:p>
      <w:pPr>
        <w:pStyle w:val="Compact"/>
        <w:numPr>
          <w:ilvl w:val="0"/>
          <w:numId w:val="1005"/>
        </w:numPr>
      </w:pPr>
      <w:r>
        <w:t xml:space="preserve">Откройте окно «Права на объект» для нужного модуля, страницы или объектной записи.</w:t>
      </w:r>
    </w:p>
    <w:p>
      <w:pPr>
        <w:pStyle w:val="Compact"/>
        <w:numPr>
          <w:ilvl w:val="0"/>
          <w:numId w:val="1005"/>
        </w:numPr>
      </w:pPr>
      <w:r>
        <w:t xml:space="preserve">В левой таблице выберите тип субъекта и роль, группу, пользователя или другое значение субъекта безопасности.</w:t>
      </w:r>
    </w:p>
    <w:p>
      <w:pPr>
        <w:pStyle w:val="Compact"/>
        <w:numPr>
          <w:ilvl w:val="0"/>
          <w:numId w:val="1005"/>
        </w:numPr>
      </w:pPr>
      <w:r>
        <w:t xml:space="preserve">В правой таблице выберите одно или несколько прав, у которых в колонке «Значение» указано</w:t>
      </w:r>
      <w:r>
        <w:t xml:space="preserve"> </w:t>
      </w:r>
      <w:r>
        <w:rPr>
          <w:rStyle w:val="VerbatimChar"/>
        </w:rPr>
        <w:t xml:space="preserve">(Наследовано)</w:t>
      </w:r>
      <w:r>
        <w:t xml:space="preserve">.</w:t>
      </w:r>
    </w:p>
    <w:p>
      <w:pPr>
        <w:pStyle w:val="Compact"/>
        <w:numPr>
          <w:ilvl w:val="0"/>
          <w:numId w:val="1005"/>
        </w:numPr>
      </w:pPr>
      <w:r>
        <w:t xml:space="preserve">Нажмите кнопку «Сделать локальным».</w:t>
      </w:r>
    </w:p>
    <w:p>
      <w:pPr>
        <w:pStyle w:val="FirstParagraph"/>
      </w:pPr>
      <w:r>
        <w:t xml:space="preserve">Кнопка «Сделать локальным» доступна только для выбранных наследуемых прав. Если среди выбранных строк есть локальное право, кнопка отключается. Кнопка «Удалить» работает наоборот: она доступна для локальных прав и не удаляет наследуемые строки напрямую.</w:t>
      </w:r>
    </w:p>
    <w:p>
      <w:pPr>
        <w:pStyle w:val="BodyText"/>
      </w:pPr>
      <w:r>
        <w:t xml:space="preserve">После локализации значение права не меняется: разрешение остается разрешением, запрет остается запретом. Меняется только источник правила - строка перестает быть наследуемой и становится локальной для текущего объекта. В списке прав у такой строки пропадает пометка</w:t>
      </w:r>
      <w:r>
        <w:t xml:space="preserve"> </w:t>
      </w:r>
      <w:r>
        <w:rPr>
          <w:rStyle w:val="VerbatimChar"/>
        </w:rPr>
        <w:t xml:space="preserve">(Наследовано)</w:t>
      </w:r>
      <w:r>
        <w:t xml:space="preserve">, после чего ее можно изменить или удалить обычными действиями окна прав.</w:t>
      </w:r>
    </w:p>
    <w:p>
      <w:pPr>
        <w:pStyle w:val="BodyText"/>
      </w:pPr>
      <w:r>
        <w:t xml:space="preserve">Операция доступна пользователю, у которого есть право</w:t>
      </w:r>
      <w:r>
        <w:t xml:space="preserve"> </w:t>
      </w:r>
      <w:r>
        <w:rPr>
          <w:rStyle w:val="VerbatimChar"/>
        </w:rPr>
        <w:t xml:space="preserve">EDITRIGHTS</w:t>
      </w:r>
      <w:r>
        <w:t xml:space="preserve"> </w:t>
      </w:r>
      <w:r>
        <w:t xml:space="preserve">на текущий объект. Локализация не отключает наследование всего объекта и не меняет набор прав дочернего дерева: она фиксирует только выбранные строки прав на текущем объекте.</w:t>
      </w:r>
    </w:p>
    <w:bookmarkEnd w:id="16"/>
    <w:bookmarkEnd w:id="17"/>
    <w:bookmarkStart w:id="18" w:name="системный-доступ-администратора"/>
    <w:p>
      <w:pPr>
        <w:pStyle w:val="Heading2"/>
      </w:pPr>
      <w:r>
        <w:t xml:space="preserve">6. Системный доступ администратора</w:t>
      </w:r>
    </w:p>
    <w:p>
      <w:pPr>
        <w:pStyle w:val="FirstParagraph"/>
      </w:pPr>
      <w:r>
        <w:t xml:space="preserve">Роль</w:t>
      </w:r>
      <w:r>
        <w:t xml:space="preserve"> </w:t>
      </w:r>
      <w:r>
        <w:rPr>
          <w:rStyle w:val="VerbatimChar"/>
        </w:rPr>
        <w:t xml:space="preserve">SITESPEC/ADMIN</w:t>
      </w:r>
      <w:r>
        <w:t xml:space="preserve"> </w:t>
      </w:r>
      <w:r>
        <w:t xml:space="preserve">получает полный набор прав. Также в некоторых служебных сценариях допускается локальный административный доступ с проверкой временного ключа и IP-адреса администратора из системной настройки.</w:t>
      </w:r>
    </w:p>
    <w:p>
      <w:pPr>
        <w:pStyle w:val="BodyText"/>
      </w:pPr>
      <w:r>
        <w:t xml:space="preserve">Административный доступ следует выдавать минимально необходимому кругу пользователей. Для повседневной работы лучше назначать права на конкретный модуль или объект, а не использовать полный системный доступ.</w:t>
      </w:r>
    </w:p>
    <w:bookmarkEnd w:id="18"/>
    <w:bookmarkStart w:id="19" w:name="контроль-списка-прав"/>
    <w:p>
      <w:pPr>
        <w:pStyle w:val="Heading2"/>
      </w:pPr>
      <w:r>
        <w:t xml:space="preserve">7. Контроль списка прав</w:t>
      </w:r>
    </w:p>
    <w:p>
      <w:pPr>
        <w:pStyle w:val="FirstParagraph"/>
      </w:pPr>
      <w:r>
        <w:t xml:space="preserve">Для периодического контроля прав доступа рекомендуется проверять:</w:t>
      </w:r>
    </w:p>
    <w:p>
      <w:pPr>
        <w:pStyle w:val="Compact"/>
        <w:numPr>
          <w:ilvl w:val="0"/>
          <w:numId w:val="1006"/>
        </w:numPr>
      </w:pPr>
      <w:r>
        <w:t xml:space="preserve">какие пользователи и группы входят в административные роли;</w:t>
      </w:r>
    </w:p>
    <w:p>
      <w:pPr>
        <w:pStyle w:val="Compact"/>
        <w:numPr>
          <w:ilvl w:val="0"/>
          <w:numId w:val="1006"/>
        </w:numPr>
      </w:pPr>
      <w:r>
        <w:t xml:space="preserve">какие объекты имеют локальные права вместо наследуемых;</w:t>
      </w:r>
    </w:p>
    <w:p>
      <w:pPr>
        <w:pStyle w:val="Compact"/>
        <w:numPr>
          <w:ilvl w:val="0"/>
          <w:numId w:val="1006"/>
        </w:numPr>
      </w:pPr>
      <w:r>
        <w:t xml:space="preserve">есть ли правила с разрешением</w:t>
      </w:r>
      <w:r>
        <w:t xml:space="preserve"> </w:t>
      </w:r>
      <w:r>
        <w:rPr>
          <w:rStyle w:val="VerbatimChar"/>
        </w:rPr>
        <w:t xml:space="preserve">EDIT</w:t>
      </w:r>
      <w:r>
        <w:t xml:space="preserve">,</w:t>
      </w:r>
      <w:r>
        <w:t xml:space="preserve"> </w:t>
      </w:r>
      <w:r>
        <w:rPr>
          <w:rStyle w:val="VerbatimChar"/>
        </w:rPr>
        <w:t xml:space="preserve">DELETE</w:t>
      </w:r>
      <w:r>
        <w:t xml:space="preserve">,</w:t>
      </w:r>
      <w:r>
        <w:t xml:space="preserve"> </w:t>
      </w:r>
      <w:r>
        <w:rPr>
          <w:rStyle w:val="VerbatimChar"/>
        </w:rPr>
        <w:t xml:space="preserve">ADDSUB</w:t>
      </w:r>
      <w:r>
        <w:t xml:space="preserve">,</w:t>
      </w:r>
      <w:r>
        <w:t xml:space="preserve"> </w:t>
      </w:r>
      <w:r>
        <w:rPr>
          <w:rStyle w:val="VerbatimChar"/>
        </w:rPr>
        <w:t xml:space="preserve">ADDRIGHTS</w:t>
      </w:r>
      <w:r>
        <w:t xml:space="preserve">,</w:t>
      </w:r>
      <w:r>
        <w:t xml:space="preserve"> </w:t>
      </w:r>
      <w:r>
        <w:rPr>
          <w:rStyle w:val="VerbatimChar"/>
        </w:rPr>
        <w:t xml:space="preserve">EDITRIGHTS</w:t>
      </w:r>
      <w:r>
        <w:t xml:space="preserve"> </w:t>
      </w:r>
      <w:r>
        <w:t xml:space="preserve">и</w:t>
      </w:r>
      <w:r>
        <w:t xml:space="preserve"> </w:t>
      </w:r>
      <w:r>
        <w:rPr>
          <w:rStyle w:val="VerbatimChar"/>
        </w:rPr>
        <w:t xml:space="preserve">DELETERIGHTS</w:t>
      </w:r>
      <w:r>
        <w:t xml:space="preserve"> </w:t>
      </w:r>
      <w:r>
        <w:t xml:space="preserve">для широких групп;</w:t>
      </w:r>
    </w:p>
    <w:p>
      <w:pPr>
        <w:pStyle w:val="Compact"/>
        <w:numPr>
          <w:ilvl w:val="0"/>
          <w:numId w:val="1006"/>
        </w:numPr>
      </w:pPr>
      <w:r>
        <w:t xml:space="preserve">не остались ли временные права на конкретный</w:t>
      </w:r>
      <w:r>
        <w:t xml:space="preserve"> </w:t>
      </w:r>
      <w:r>
        <w:rPr>
          <w:rStyle w:val="VerbatimChar"/>
        </w:rPr>
        <w:t xml:space="preserve">LOGIN</w:t>
      </w:r>
      <w:r>
        <w:t xml:space="preserve">, IP-адрес или LDAP-группу;</w:t>
      </w:r>
    </w:p>
    <w:p>
      <w:pPr>
        <w:pStyle w:val="Compact"/>
        <w:numPr>
          <w:ilvl w:val="0"/>
          <w:numId w:val="1006"/>
        </w:numPr>
      </w:pPr>
      <w:r>
        <w:t xml:space="preserve">соответствует ли фактический набор прав полномочиям сотрудников подразделения.</w:t>
      </w:r>
    </w:p>
    <w:p>
      <w:pPr>
        <w:pStyle w:val="FirstParagraph"/>
      </w:pPr>
      <w:r>
        <w:t xml:space="preserve">Технически список прав объекта можно получить через действия</w:t>
      </w:r>
      <w:r>
        <w:t xml:space="preserve"> </w:t>
      </w:r>
      <w:r>
        <w:rPr>
          <w:rStyle w:val="VerbatimChar"/>
        </w:rPr>
        <w:t xml:space="preserve">Admin/GetSecRights</w:t>
      </w:r>
      <w:r>
        <w:t xml:space="preserve">,</w:t>
      </w:r>
      <w:r>
        <w:t xml:space="preserve"> </w:t>
      </w:r>
      <w:r>
        <w:rPr>
          <w:rStyle w:val="VerbatimChar"/>
        </w:rPr>
        <w:t xml:space="preserve">Admin/GetSecRightsAll</w:t>
      </w:r>
      <w:r>
        <w:t xml:space="preserve"> </w:t>
      </w:r>
      <w:r>
        <w:t xml:space="preserve">и окно редактирования прав. При обнаружении расхождения права нужно изменить в административном интерфейсе и дождаться обновления дочерних объектов, если изменение затрагивает наследование.</w:t>
      </w:r>
    </w:p>
    <w:bookmarkEnd w:id="19"/>
    <w:bookmarkStart w:id="20" w:name="практическая-проверка"/>
    <w:p>
      <w:pPr>
        <w:pStyle w:val="Heading2"/>
      </w:pPr>
      <w:r>
        <w:t xml:space="preserve">8. Практическая проверка</w:t>
      </w:r>
    </w:p>
    <w:p>
      <w:pPr>
        <w:pStyle w:val="FirstParagraph"/>
      </w:pPr>
      <w:r>
        <w:t xml:space="preserve">После изменения прав проверьте:</w:t>
      </w:r>
    </w:p>
    <w:p>
      <w:pPr>
        <w:pStyle w:val="Compact"/>
        <w:numPr>
          <w:ilvl w:val="0"/>
          <w:numId w:val="1007"/>
        </w:numPr>
      </w:pPr>
      <w:r>
        <w:t xml:space="preserve">Пользователь с нужной ролью видит объект или модуль.</w:t>
      </w:r>
    </w:p>
    <w:p>
      <w:pPr>
        <w:pStyle w:val="Compact"/>
        <w:numPr>
          <w:ilvl w:val="0"/>
          <w:numId w:val="1007"/>
        </w:numPr>
      </w:pPr>
      <w:r>
        <w:t xml:space="preserve">Пользователь без права</w:t>
      </w:r>
      <w:r>
        <w:t xml:space="preserve"> </w:t>
      </w:r>
      <w:r>
        <w:rPr>
          <w:rStyle w:val="VerbatimChar"/>
        </w:rPr>
        <w:t xml:space="preserve">VIEW</w:t>
      </w:r>
      <w:r>
        <w:t xml:space="preserve"> </w:t>
      </w:r>
      <w:r>
        <w:t xml:space="preserve">не видит объект в рабочем интерфейсе.</w:t>
      </w:r>
    </w:p>
    <w:p>
      <w:pPr>
        <w:pStyle w:val="Compact"/>
        <w:numPr>
          <w:ilvl w:val="0"/>
          <w:numId w:val="1007"/>
        </w:numPr>
      </w:pPr>
      <w:r>
        <w:t xml:space="preserve">Пользователь без</w:t>
      </w:r>
      <w:r>
        <w:t xml:space="preserve"> </w:t>
      </w:r>
      <w:r>
        <w:rPr>
          <w:rStyle w:val="VerbatimChar"/>
        </w:rPr>
        <w:t xml:space="preserve">EDIT</w:t>
      </w:r>
      <w:r>
        <w:t xml:space="preserve"> </w:t>
      </w:r>
      <w:r>
        <w:t xml:space="preserve">не может изменить объект.</w:t>
      </w:r>
    </w:p>
    <w:p>
      <w:pPr>
        <w:pStyle w:val="Compact"/>
        <w:numPr>
          <w:ilvl w:val="0"/>
          <w:numId w:val="1007"/>
        </w:numPr>
      </w:pPr>
      <w:r>
        <w:t xml:space="preserve">Пользователь без</w:t>
      </w:r>
      <w:r>
        <w:t xml:space="preserve"> </w:t>
      </w:r>
      <w:r>
        <w:rPr>
          <w:rStyle w:val="VerbatimChar"/>
        </w:rPr>
        <w:t xml:space="preserve">VIEWRIGHTS</w:t>
      </w:r>
      <w:r>
        <w:t xml:space="preserve"> </w:t>
      </w:r>
      <w:r>
        <w:t xml:space="preserve">не может открыть окно прав.</w:t>
      </w:r>
    </w:p>
    <w:p>
      <w:pPr>
        <w:pStyle w:val="Compact"/>
        <w:numPr>
          <w:ilvl w:val="0"/>
          <w:numId w:val="1007"/>
        </w:numPr>
      </w:pPr>
      <w:r>
        <w:t xml:space="preserve">Для дочерних объектов после изменения наследования выполнена фоновая задача обновления прав.</w:t>
      </w:r>
    </w:p>
    <w:bookmarkEnd w:id="20"/>
    <w:bookmarkEnd w:id="2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12" Target="media/rId12.pn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Управление правами доступа</dc:title>
  <dc:creator/>
  <cp:keywords/>
  <dcterms:created xsi:type="dcterms:W3CDTF">2026-08-31T13:51:08Z</dcterms:created>
  <dcterms:modified xsi:type="dcterms:W3CDTF">2026-08-31T13:51:08Z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