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  <Override PartName="/word/media/rId28.png" ContentType="image/png"/>
  <Override PartName="/word/media/rId32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сведений о найденных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просмотр-сведений-о-найденных-записях"/>
    <w:p>
      <w:pPr>
        <w:pStyle w:val="Heading1"/>
      </w:pPr>
      <w:r>
        <w:t xml:space="preserve">Просмотр сведений о найденных записях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После поиска записей пользователь может открыть полное описание, аннотацию, содержание, ключевые слова, систематические шифры и сведения о держателях документа для выбранной записи. Команды просмотра сведений появляются только после выбора записи в результатах поиска.</w:t>
      </w:r>
    </w:p>
    <w:p>
      <w:pPr>
        <w:pStyle w:val="BodyText"/>
      </w:pPr>
      <w:r>
        <w:t xml:space="preserve">Перед выполнением любого действия найдите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кнопки действий по конкретной записи, включая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, не отображаются.</w:t>
      </w:r>
    </w:p>
    <w:p>
      <w:pPr>
        <w:pStyle w:val="BodyText"/>
      </w:pPr>
      <w:r>
        <w:t xml:space="preserve">Если запись не отмечена, действия просмотра сведений о записи скрыты или недоступны. После выбора записи отдельные кнопки показываются только при наличии соответствующих данных: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- для записей, для которых доступен просмотр полного описания,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- для записей с аннотационным текстом,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- для записей с заполненными ключевыми словами.</w:t>
      </w:r>
    </w:p>
    <w:bookmarkEnd w:id="9"/>
    <w:bookmarkStart w:id="16" w:name="полное-описание"/>
    <w:p>
      <w:pPr>
        <w:pStyle w:val="Heading2"/>
      </w:pPr>
      <w:r>
        <w:t xml:space="preserve">2. Полное описание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запись, для которой нужно просмотреть полное описание.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в панели действий появилась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, и нажмите её.</w:t>
      </w:r>
    </w:p>
    <w:p>
      <w:pPr>
        <w:pStyle w:val="CaptionedFigure"/>
      </w:pPr>
      <w:r>
        <w:drawing>
          <wp:inline>
            <wp:extent cx="5334000" cy="2327034"/>
            <wp:effectExtent b="0" l="0" r="0" t="0"/>
            <wp:docPr descr="Вызов просмотра полного описания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7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полного описания</w:t>
      </w:r>
    </w:p>
    <w:p>
      <w:pPr>
        <w:pStyle w:val="Compact"/>
        <w:numPr>
          <w:ilvl w:val="0"/>
          <w:numId w:val="1002"/>
        </w:numPr>
      </w:pPr>
      <w:r>
        <w:t xml:space="preserve">Полное описание откроется в новой вкладке.</w:t>
      </w:r>
    </w:p>
    <w:p>
      <w:pPr>
        <w:pStyle w:val="CaptionedFigure"/>
      </w:pPr>
      <w:r>
        <w:drawing>
          <wp:inline>
            <wp:extent cx="5334000" cy="1388908"/>
            <wp:effectExtent b="0" l="0" r="0" t="0"/>
            <wp:docPr descr="Просмотр полного описания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889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полного описания</w:t>
      </w:r>
    </w:p>
    <w:bookmarkEnd w:id="16"/>
    <w:bookmarkStart w:id="23" w:name="аннотация"/>
    <w:p>
      <w:pPr>
        <w:pStyle w:val="Heading2"/>
      </w:pPr>
      <w:r>
        <w:t xml:space="preserve">3. Аннотация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запись, для которой нужно просмотреть аннотацию.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.</w:t>
      </w:r>
    </w:p>
    <w:p>
      <w:pPr>
        <w:pStyle w:val="CaptionedFigure"/>
      </w:pPr>
      <w:r>
        <w:drawing>
          <wp:inline>
            <wp:extent cx="5334000" cy="2519597"/>
            <wp:effectExtent b="0" l="0" r="0" t="0"/>
            <wp:docPr descr="Вызов аннотации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95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аннотации записи</w:t>
      </w:r>
    </w:p>
    <w:p>
      <w:pPr>
        <w:pStyle w:val="Compact"/>
        <w:numPr>
          <w:ilvl w:val="0"/>
          <w:numId w:val="1004"/>
        </w:numPr>
      </w:pPr>
      <w:r>
        <w:t xml:space="preserve">Аннотация откроется во всплывающем окне.</w:t>
      </w:r>
    </w:p>
    <w:p>
      <w:pPr>
        <w:pStyle w:val="CaptionedFigure"/>
      </w:pPr>
      <w:r>
        <w:drawing>
          <wp:inline>
            <wp:extent cx="5334000" cy="2977804"/>
            <wp:effectExtent b="0" l="0" r="0" t="0"/>
            <wp:docPr descr="Аннотация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7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Аннотация записи</w:t>
      </w:r>
    </w:p>
    <w:bookmarkEnd w:id="23"/>
    <w:bookmarkStart w:id="24" w:name="содержание"/>
    <w:p>
      <w:pPr>
        <w:pStyle w:val="Heading2"/>
      </w:pPr>
      <w:r>
        <w:t xml:space="preserve">4. Содержание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запись, для которой нужно просмотреть содержание или оглавление.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 в записи заполнены данные содержания, они откроются во всплывающем окне.</w:t>
      </w:r>
    </w:p>
    <w:bookmarkEnd w:id="24"/>
    <w:bookmarkStart w:id="31" w:name="ключевые-слова"/>
    <w:p>
      <w:pPr>
        <w:pStyle w:val="Heading2"/>
      </w:pPr>
      <w:r>
        <w:t xml:space="preserve">5. Ключевые слова</w:t>
      </w:r>
    </w:p>
    <w:p>
      <w:pPr>
        <w:pStyle w:val="Compact"/>
        <w:numPr>
          <w:ilvl w:val="0"/>
          <w:numId w:val="1006"/>
        </w:numPr>
      </w:pPr>
      <w:r>
        <w:t xml:space="preserve">Отметьте запись, для которой нужно просмотреть ключевые слова.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Если кнопка не появилась после выбора записи, у выбранной записи нет заполненных ключевых слов.</w:t>
      </w:r>
    </w:p>
    <w:p>
      <w:pPr>
        <w:pStyle w:val="CaptionedFigure"/>
      </w:pPr>
      <w:r>
        <w:drawing>
          <wp:inline>
            <wp:extent cx="5334000" cy="2515666"/>
            <wp:effectExtent b="0" l="0" r="0" t="0"/>
            <wp:docPr descr="Вызов просмотра ключевых слов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5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ключевых слов</w:t>
      </w:r>
    </w:p>
    <w:p>
      <w:pPr>
        <w:pStyle w:val="Compact"/>
        <w:numPr>
          <w:ilvl w:val="0"/>
          <w:numId w:val="1007"/>
        </w:numPr>
      </w:pPr>
      <w:r>
        <w:t xml:space="preserve">В открывшемся окне выберите одно или несколько ключевых слов.</w:t>
      </w:r>
    </w:p>
    <w:p>
      <w:pPr>
        <w:pStyle w:val="Compact"/>
        <w:numPr>
          <w:ilvl w:val="0"/>
          <w:numId w:val="1007"/>
        </w:numPr>
      </w:pPr>
      <w:r>
        <w:t xml:space="preserve">При необходимости нажмите кнопку поиска по ключевым словам, чтобы найти другие записи с выбранными ключевыми словами.</w:t>
      </w:r>
    </w:p>
    <w:p>
      <w:pPr>
        <w:pStyle w:val="CaptionedFigure"/>
      </w:pPr>
      <w:r>
        <w:drawing>
          <wp:inline>
            <wp:extent cx="5334000" cy="2975186"/>
            <wp:effectExtent b="0" l="0" r="0" t="0"/>
            <wp:docPr descr="Выбор ключевых слов и поиск по ним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6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51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ключевых слов и поиск по ним</w:t>
      </w:r>
    </w:p>
    <w:bookmarkEnd w:id="31"/>
    <w:bookmarkStart w:id="38" w:name="систематические-шифры"/>
    <w:p>
      <w:pPr>
        <w:pStyle w:val="Heading2"/>
      </w:pPr>
      <w:r>
        <w:t xml:space="preserve">6. Систематические шифры</w:t>
      </w:r>
    </w:p>
    <w:p>
      <w:pPr>
        <w:pStyle w:val="FirstParagraph"/>
      </w:pPr>
      <w:r>
        <w:t xml:space="preserve">Пока запись не выбрана, кнопка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скрыта. Если выбранная запись не содержит систематических индексов, действие также может не отображаться.</w:t>
      </w:r>
    </w:p>
    <w:p>
      <w:pPr>
        <w:pStyle w:val="Compact"/>
        <w:numPr>
          <w:ilvl w:val="0"/>
          <w:numId w:val="1008"/>
        </w:numPr>
      </w:pPr>
      <w:r>
        <w:t xml:space="preserve">Отметьте запись, для которой нужно просмотреть систематические шифры.</w:t>
      </w:r>
    </w:p>
    <w:p>
      <w:pPr>
        <w:pStyle w:val="Compact"/>
        <w:numPr>
          <w:ilvl w:val="0"/>
          <w:numId w:val="1008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.</w:t>
      </w:r>
    </w:p>
    <w:p>
      <w:pPr>
        <w:pStyle w:val="CaptionedFigure"/>
      </w:pPr>
      <w:r>
        <w:drawing>
          <wp:inline>
            <wp:extent cx="5334000" cy="2530988"/>
            <wp:effectExtent b="0" l="0" r="0" t="0"/>
            <wp:docPr descr="Вызов просмотра систематических шифров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309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систематических шифров</w:t>
      </w:r>
    </w:p>
    <w:p>
      <w:pPr>
        <w:pStyle w:val="Compact"/>
        <w:numPr>
          <w:ilvl w:val="0"/>
          <w:numId w:val="1009"/>
        </w:numPr>
      </w:pPr>
      <w:r>
        <w:t xml:space="preserve">Список систематических шифров откроется во всплывающем окне.</w:t>
      </w:r>
    </w:p>
    <w:p>
      <w:pPr>
        <w:pStyle w:val="CaptionedFigure"/>
      </w:pPr>
      <w:r>
        <w:drawing>
          <wp:inline>
            <wp:extent cx="5334000" cy="2960696"/>
            <wp:effectExtent b="0" l="0" r="0" t="0"/>
            <wp:docPr descr="Просмотр систематических шифров" title="" id="36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8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06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систематических шифров</w:t>
      </w:r>
    </w:p>
    <w:bookmarkEnd w:id="38"/>
    <w:bookmarkStart w:id="39" w:name="держатели-документа"/>
    <w:p>
      <w:pPr>
        <w:pStyle w:val="Heading2"/>
      </w:pPr>
      <w:r>
        <w:t xml:space="preserve">7. Держатели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находится на панели действий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показывается после выбора сводной библиографической записи и скрывается, если запись не выделена или выбранная строка не является сводной записью.</w:t>
      </w:r>
    </w:p>
    <w:p>
      <w:pPr>
        <w:pStyle w:val="Compact"/>
        <w:numPr>
          <w:ilvl w:val="0"/>
          <w:numId w:val="1010"/>
        </w:numPr>
      </w:pPr>
      <w:r>
        <w:t xml:space="preserve">Найдите документ в электронном каталоге.</w:t>
      </w:r>
    </w:p>
    <w:p>
      <w:pPr>
        <w:pStyle w:val="Compact"/>
        <w:numPr>
          <w:ilvl w:val="0"/>
          <w:numId w:val="1010"/>
        </w:numPr>
      </w:pPr>
      <w:r>
        <w:t xml:space="preserve">Отметьте нужную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.</w:t>
      </w:r>
    </w:p>
    <w:p>
      <w:pPr>
        <w:pStyle w:val="FirstParagraph"/>
      </w:pPr>
      <w:r>
        <w:t xml:space="preserve">Откроется окно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со сведениями из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выбранной записи. В таблице отображаются:</w:t>
      </w:r>
    </w:p>
    <w:p>
      <w:pPr>
        <w:pStyle w:val="Compact"/>
        <w:numPr>
          <w:ilvl w:val="0"/>
          <w:numId w:val="101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11"/>
        </w:numPr>
      </w:pPr>
      <w:r>
        <w:t xml:space="preserve">почтовый адрес;</w:t>
      </w:r>
    </w:p>
    <w:p>
      <w:pPr>
        <w:pStyle w:val="Compact"/>
        <w:numPr>
          <w:ilvl w:val="0"/>
          <w:numId w:val="1011"/>
        </w:numPr>
      </w:pPr>
      <w:r>
        <w:t xml:space="preserve">адрес телекоммуникаций;</w:t>
      </w:r>
    </w:p>
    <w:p>
      <w:pPr>
        <w:pStyle w:val="Compact"/>
        <w:numPr>
          <w:ilvl w:val="0"/>
          <w:numId w:val="1011"/>
        </w:numPr>
      </w:pPr>
      <w:r>
        <w:t xml:space="preserve">сигла, то есть национальный код организации;</w:t>
      </w:r>
    </w:p>
    <w:p>
      <w:pPr>
        <w:pStyle w:val="Compact"/>
        <w:numPr>
          <w:ilvl w:val="0"/>
          <w:numId w:val="1011"/>
        </w:numPr>
      </w:pPr>
      <w:r>
        <w:t xml:space="preserve">БД-источник записи;</w:t>
      </w:r>
    </w:p>
    <w:p>
      <w:pPr>
        <w:pStyle w:val="Compact"/>
        <w:numPr>
          <w:ilvl w:val="0"/>
          <w:numId w:val="1011"/>
        </w:numPr>
      </w:pPr>
      <w:r>
        <w:t xml:space="preserve">шифр записи-источника.</w:t>
      </w:r>
    </w:p>
    <w:p>
      <w:pPr>
        <w:pStyle w:val="FirstParagraph"/>
      </w:pPr>
      <w:r>
        <w:t xml:space="preserve">Если строка связана с организацией или записью-источником, в окне могут быть доступны дополнительные действия: просмотр информации об организации, переход к записи-источнику и, для пользователей с правом редактирования БД сводного каталога, выделение записи-источника в самостоятельную запись.</w:t>
      </w:r>
    </w:p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сведений о найденных записях</dc:title>
  <dc:creator/>
  <cp:keywords/>
  <dcterms:created xsi:type="dcterms:W3CDTF">2026-10-24T06:20:41Z</dcterms:created>
  <dcterms:modified xsi:type="dcterms:W3CDTF">2026-10-24T06:20:41Z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