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Организационный контекст заявителя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рганизационный-контекст-заявителя"/>
    <w:p>
      <w:pPr>
        <w:pStyle w:val="Heading1"/>
      </w:pPr>
      <w:r>
        <w:t xml:space="preserve">Организационный контекст заявителя</w:t>
      </w:r>
    </w:p>
    <w:p>
      <w:pPr>
        <w:pStyle w:val="FirstParagraph"/>
      </w:pPr>
      <w:r>
        <w:rPr>
          <w:rStyle w:val="VerbatimChar"/>
        </w:rPr>
        <w:t xml:space="preserve">Organisations</w:t>
      </w:r>
      <w:r>
        <w:t xml:space="preserve"> </w:t>
      </w:r>
      <w:r>
        <w:t xml:space="preserve">предоставляет организационную часть resolver заявителя. Модуль нормализует запись</w:t>
      </w:r>
      <w:r>
        <w:t xml:space="preserve"> </w:t>
      </w:r>
      <w:r>
        <w:rPr>
          <w:rStyle w:val="VerbatimChar"/>
        </w:rPr>
        <w:t xml:space="preserve">ORGANISATION</w:t>
      </w:r>
      <w:r>
        <w:t xml:space="preserve">, возвращает ее ключ, наименование, статус, контактных лиц и объяснимую причину отказа для удаленных, неактивных или объединенных организаций.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Organisations/ResolveOrganisationContext</w:t>
      </w:r>
      <w:r>
        <w:t xml:space="preserve"> </w:t>
      </w:r>
      <w:r>
        <w:t xml:space="preserve">принимает собственный ID организации или уже загруженную запись</w:t>
      </w:r>
      <w:r>
        <w:t xml:space="preserve"> </w:t>
      </w:r>
      <w:r>
        <w:rPr>
          <w:rStyle w:val="VerbatimChar"/>
        </w:rPr>
        <w:t xml:space="preserve">ORGANISATION</w:t>
      </w:r>
      <w:r>
        <w:t xml:space="preserve"> </w:t>
      </w:r>
      <w:r>
        <w:t xml:space="preserve">и возвращает безопасный контекст организации.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Organisations/CanApplicantActForOrganisation</w:t>
      </w:r>
      <w:r>
        <w:t xml:space="preserve"> </w:t>
      </w:r>
      <w:r>
        <w:t xml:space="preserve">проверяет организационную связь заявителя:</w:t>
      </w:r>
    </w:p>
    <w:p>
      <w:pPr>
        <w:pStyle w:val="Compact"/>
        <w:numPr>
          <w:ilvl w:val="0"/>
          <w:numId w:val="1001"/>
        </w:numPr>
      </w:pPr>
      <w:r>
        <w:t xml:space="preserve">связь пользователя с организацией;</w:t>
      </w:r>
    </w:p>
    <w:p>
      <w:pPr>
        <w:pStyle w:val="Compact"/>
        <w:numPr>
          <w:ilvl w:val="0"/>
          <w:numId w:val="1001"/>
        </w:numPr>
      </w:pPr>
      <w:r>
        <w:t xml:space="preserve">активное делегирование;</w:t>
      </w:r>
    </w:p>
    <w:p>
      <w:pPr>
        <w:pStyle w:val="Compact"/>
        <w:numPr>
          <w:ilvl w:val="0"/>
          <w:numId w:val="1001"/>
        </w:numPr>
      </w:pPr>
      <w:r>
        <w:t xml:space="preserve">роль представителя организации;</w:t>
      </w:r>
    </w:p>
    <w:p>
      <w:pPr>
        <w:pStyle w:val="Compact"/>
        <w:numPr>
          <w:ilvl w:val="0"/>
          <w:numId w:val="1001"/>
        </w:numPr>
      </w:pPr>
      <w:r>
        <w:t xml:space="preserve">совпадение подтвержденного внешнего контакта с контактами организации.</w:t>
      </w:r>
    </w:p>
    <w:p>
      <w:pPr>
        <w:pStyle w:val="FirstParagraph"/>
      </w:pPr>
      <w:r>
        <w:t xml:space="preserve">Эта проверка не заменяет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 Она отвечает только на вопрос, есть ли у заявителя объяснимая организационная связь. Окончательные права на просмотр, создание, изменение записи и выполнение действия проверяются стандартным механизмом прав.</w:t>
      </w:r>
    </w:p>
    <w:p>
      <w:pPr>
        <w:pStyle w:val="BodyText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modules/Organisations/system/applicant_resolver.json</w:t>
      </w:r>
      <w:r>
        <w:t xml:space="preserve">. Оно используется локальной диагностикой, TestA и будущими HealthCheck-провайдерами.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Организационный контекст заявителя</dc:title>
  <dc:creator/>
  <cp:keywords/>
  <dcterms:created xsi:type="dcterms:W3CDTF">2026-10-23T20:24:36Z</dcterms:created>
  <dcterms:modified xsi:type="dcterms:W3CDTF">2026-10-23T20:24:36Z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