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NJK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njk"/>
    <w:p>
      <w:pPr>
        <w:pStyle w:val="Heading1"/>
      </w:pPr>
      <w:r>
        <w:t xml:space="preserve">Назначение NJK</w:t>
      </w:r>
    </w:p>
    <w:p>
      <w:pPr>
        <w:pStyle w:val="FirstParagraph"/>
      </w:pPr>
      <w:r>
        <w:rPr>
          <w:rStyle w:val="VerbatimChar"/>
        </w:rPr>
        <w:t xml:space="preserve">NJK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NJK</w:t>
      </w:r>
      <w:r>
        <w:t xml:space="preserve">. Он применяется для описания подшивки как отдельной учетной сущности, когда подшивка должна иметь собственную карточку, форматы вывода и изображения.</w:t>
      </w:r>
    </w:p>
    <w:p>
      <w:pPr>
        <w:pStyle w:val="BodyText"/>
      </w:pPr>
      <w:r>
        <w:t xml:space="preserve">В модуле включен полевой редактор, административная панель скрыта. Основные пользовательские представления формируются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NJK</dc:title>
  <dc:creator/>
  <cp:keywords/>
  <dcterms:created xsi:type="dcterms:W3CDTF">2026-08-28T20:33:56Z</dcterms:created>
  <dcterms:modified xsi:type="dcterms:W3CDTF">2026-08-28T20:33:56Z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