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[I128-2831] Mapping внешних интеграций и реестр ExternalId в модуле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a4ff3cea1d1b9811d7cfb85d5ce66fd6aa4b416"/>
    <w:p>
      <w:pPr>
        <w:pStyle w:val="Heading1"/>
      </w:pPr>
      <w:r>
        <w:t xml:space="preserve">[I128-2831] Mapping внешних интеграций и реестр ExternalId в модуле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08:58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API так, чтобы он стал владельцем декларативного mapping contract и реестра ExternalId для внешних интеграций ИРБИС 128.</w:t>
      </w:r>
    </w:p>
    <w:p>
      <w:pPr>
        <w:pStyle w:val="BodyText"/>
      </w:pPr>
      <w:r>
        <w:t xml:space="preserve">Внешний потребитель или integration adapter должен уметь однозначно сопоставить внешний объект с внутренней записью, проверить mapping payload без изменения данных,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модуле API должен существовать базовый реестр APIContract и IntegrationAdapterProfile. Этот срез развивает их следующим слоем: для опубликованного adapter profile нужно описать, какие внешние object types соответствуют внутренним object types, какие external ids связаны с конкретными внутренними объектами и как внешние поля, статусы, переходы и участники преобразуются в внутренние значения ИРБИС 128.</w:t>
      </w:r>
    </w:p>
    <w:p>
      <w:pPr>
        <w:pStyle w:val="BodyText"/>
      </w:pPr>
      <w:r>
        <w:t xml:space="preserve">Mapping и external ids должны быть общесистемным integration contract модуля API. Доменные модули продолжают владеть своими записями, бизнес-правилами, сохранением изменений и прикладной валидацией. API не должен знать физическую структуру записей Tasks, VirtualRef, RQST, Users, EC или других предметных модулей сверх опубликованных field keys, workflow keys и resolver contracts.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реестр ExternalId в модуле API. Запись ExternalId должна связывать внешний идентификатор с external system, IntegrationAdapterProfile, object type, внутренним record key или record reference, external object type, направлением использования, статусом связи, датами создания и последнего подтверждения, источником регистрации и диагностическими признаками.</w:t>
      </w:r>
    </w:p>
    <w:p>
      <w:pPr>
        <w:pStyle w:val="BodyText"/>
      </w:pPr>
      <w:r>
        <w:t xml:space="preserve">Один внутренний объект может иметь несколько external ids в разных adapter profiles или external systems. Поиск внутреннего объекта по external id должен учитывать как минимум adapter profile, external system и object type. Неоднозначный поиск должен возвращать безопасную ошибку, а не случайно выбранную запись.</w:t>
      </w:r>
    </w:p>
    <w:p>
      <w:pPr>
        <w:pStyle w:val="BodyText"/>
      </w:pPr>
      <w:r>
        <w:t xml:space="preserve">Нужно описать правила уникальности external ids. По умолчанию одна активная связка external system + adapter profile + object type + external id должна указывать только на один внутренний объект. Если профиль допускает alias или историю смены внешнего идентификатора, это должно быть явно описано policy и не должно ломать основной однозначный lookup.</w:t>
      </w:r>
    </w:p>
    <w:p>
      <w:pPr>
        <w:pStyle w:val="BodyText"/>
      </w:pPr>
      <w:r>
        <w:t xml:space="preserve">Нужно реализовать управление жизненным циклом ExternalId: регистрация, подтверждение при повторном обмене, деактивация, пометка конфликтной связи, безопасное удаление или архивирование по policy. Изменение external id должно оставлять audit/diagnostic trail, достаточный для разбора интеграционного инцидента.</w:t>
      </w:r>
    </w:p>
    <w:p>
      <w:pPr>
        <w:pStyle w:val="BodyText"/>
      </w:pPr>
      <w:r>
        <w:t xml:space="preserve">Нужно реализовать mapping profile, связанный с IntegrationAdapterProfile, APIContract version, direction и object type. Mapping profile должен описывать преобразование внешнего payload во внутреннюю нормализованную модель API и обратное представление, если направление профиля это допускает.</w:t>
      </w:r>
    </w:p>
    <w:p>
      <w:pPr>
        <w:pStyle w:val="BodyText"/>
      </w:pPr>
      <w:r>
        <w:t xml:space="preserve">Mapping полей должен ссылаться на стабильные field keys из FieldConfiguration, а не на физические номера полей, подполей или частные имена переменных доменного модуля. Для поля должны быть описаны внешний ключ, внутренний field key, направление, обязательность, null/default policy, тип значения, простые правила нормализации, правила ошибки при неизвестном значении и диагностическое сообщение.</w:t>
      </w:r>
    </w:p>
    <w:p>
      <w:pPr>
        <w:pStyle w:val="BodyText"/>
      </w:pPr>
      <w:r>
        <w:t xml:space="preserve">Mapping workflow-состояний должен ссылаться на ключи WorkflowProject, WorkflowStatus и WorkflowTransition там, где внутренний объект участвует в workflow. API не должен хранить собственный список статусов или переходов; он должен проверять, что указанные ключи существуют и применимы к выбранному object type и project context.</w:t>
      </w:r>
    </w:p>
    <w:p>
      <w:pPr>
        <w:pStyle w:val="BodyText"/>
      </w:pPr>
      <w:r>
        <w:t xml:space="preserve">Mapping пользователей, организаций и участников должен выполняться через resolver contracts модулей Users и Organisations. В mapping profile нужно указать, какие внешние признаки используются для поиска участника: login, email, подтвержденный контакт, внешний subject id, организация, роль или delegation context. Неоднозначный или неподтвержденный участник должен попадать в диагностируемую ошибку.</w:t>
      </w:r>
    </w:p>
    <w:p>
      <w:pPr>
        <w:pStyle w:val="BodyText"/>
      </w:pPr>
      <w:r>
        <w:t xml:space="preserve">Если mapping ссылается на файлы или вложения, он должен работать только со ссылками на FT/TemporaryFiles contracts и не должен передавать физические пути или внутренние storage identifiers наружу. Полная реализация file transfer или storage pipeline не входит в этот срез.</w:t>
      </w:r>
    </w:p>
    <w:p>
      <w:pPr>
        <w:pStyle w:val="BodyText"/>
      </w:pPr>
      <w:r>
        <w:t xml:space="preserve">Нужно реализовать where-used для ExternalId и mapping profile. Администратор и диагностический API должны показывать, какие adapter profiles, API methods, object types, fields, statuses, transitions, user resolvers и внутренние записи используют конкретный external id или mapping rule.</w:t>
      </w:r>
    </w:p>
    <w:p>
      <w:pPr>
        <w:pStyle w:val="BodyText"/>
      </w:pPr>
      <w:r>
        <w:t xml:space="preserve">Нужно реализовать dry</w:t>
      </w:r>
      <w:r>
        <w:rPr>
          <w:strike/>
        </w:rPr>
        <w:t xml:space="preserve">run mapping. По входному payload, adapter profile, object type и operation API должен построить нормализованный результат: найденный или предполагаемый внутренний объект, matched external id, список преобразованных полей, предполагаемые workflow</w:t>
      </w:r>
      <w:r>
        <w:t xml:space="preserve">ссылки, найденных участников, ошибки, предупреждения, возможный diff и required permissions. Dry</w:t>
      </w:r>
      <w:r>
        <w:rPr>
          <w:strike/>
        </w:rPr>
        <w:t xml:space="preserve">run не должен сохранять запись, создавать ExternalId, выполнять workflow</w:t>
      </w:r>
      <w:r>
        <w:t xml:space="preserve">переходы, запускать post-functions, отправлять события или ставить задания в Queue.</w:t>
      </w:r>
    </w:p>
    <w:p>
      <w:pPr>
        <w:pStyle w:val="BodyText"/>
      </w:pPr>
      <w:r>
        <w:t xml:space="preserve">Нужно добавить диагностику дублей и конфликтов external ids: несколько внутренних объектов для одного external id, несколько активных external ids там, где policy запрещает множественность, устаревший mapping profile, неизвестный field key, неизвестный status/transition key, неразрешенный пользователь, недоступное поле, отказ Security, скрытый объект, неподдерживаемый object type и несовместимая версия APIContract.</w:t>
      </w:r>
    </w:p>
    <w:p>
      <w:pPr>
        <w:pStyle w:val="BodyText"/>
      </w:pPr>
      <w:r>
        <w:t xml:space="preserve">Нужно добавить API/admin операции для просмотра и управления mapping profiles и ExternalId: список, чтение карточки, поиск по external id, поиск external ids внутреннего объекта, создание или деактивация связи по правам, dry</w:t>
      </w:r>
      <w:r>
        <w:rPr>
          <w:strike/>
        </w:rPr>
        <w:t xml:space="preserve">run mapping, where</w:t>
      </w:r>
      <w:r>
        <w:t xml:space="preserve">used и export безопасной конфигурации. Изменяющие операции должны проходить через Security и idempotency policy профиля.</w:t>
      </w:r>
    </w:p>
    <w:p>
      <w:pPr>
        <w:pStyle w:val="BodyText"/>
      </w:pPr>
      <w:r>
        <w:t xml:space="preserve">Нужно добавить HealthCheck provider для API mapping/external ids. Проверки должны находить несуществующие field keys, workflow statuses/transitions, broken user resolver bindings, дубли external ids, битые adapter profile references, несовместимые версии APIContract, отсутствующие TestA datasets и правила mapping, которые ссылаются на скрытые или недоступные поля.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 для регистрации ExternalId, поиска внутреннего объекта по external id, запрета дублей, dry</w:t>
      </w:r>
      <w:r>
        <w:t xml:space="preserve">run mapping без изменения записи, field mapping через FieldConfiguration, status/transition mapping через Workflow*, user mapping через Users/Organisations resolver, отказов Security, безопасной диагностики и HealthCheck provider checks.</w:t>
      </w:r>
    </w:p>
    <w:p>
      <w:pPr>
        <w:pStyle w:val="BodyText"/>
      </w:pPr>
      <w:r>
        <w:t xml:space="preserve">Нужно обновить Help модуля API: назначение ExternalId, настройка mapping profile, правила уникальности, where</w:t>
      </w:r>
      <w:r>
        <w:rPr>
          <w:strike/>
        </w:rPr>
        <w:t xml:space="preserve">used, dry</w:t>
      </w:r>
      <w:r>
        <w:t xml:space="preserve">run, типовые ошибки диагностики, границы ответственности API и порядок подключения доменного модуля к общему integration contract.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API владеет реестром ExternalId, mapping profile, правилами уникальности external ids, lookup contract, where</w:t>
      </w:r>
      <w:r>
        <w:rPr>
          <w:strike/>
        </w:rPr>
        <w:t xml:space="preserve">used, dry</w:t>
      </w:r>
      <w:r>
        <w:t xml:space="preserve">run mapping, API</w:t>
      </w:r>
      <w:r>
        <w:rPr>
          <w:strike/>
        </w:rPr>
        <w:t xml:space="preserve">level diagnostics и безопасным export mapping</w:t>
      </w:r>
      <w:r>
        <w:t xml:space="preserve">конфигурации.</w:t>
      </w:r>
    </w:p>
    <w:p>
      <w:pPr>
        <w:pStyle w:val="BodyText"/>
      </w:pPr>
      <w:r>
        <w:t xml:space="preserve">FieldConfiguration владеет field keys, типами полей, отображением, вводом, поиском, экспортом и API-семантикой полей. API только ссылается на field keys и проверяет их доступность через опубликованный контракт.</w:t>
      </w:r>
    </w:p>
    <w:p>
      <w:pPr>
        <w:pStyle w:val="BodyText"/>
      </w:pPr>
      <w:r>
        <w:t xml:space="preserve">Workflow* владеет WorkflowProject, WorkflowStatus, WorkflowTransition, доступностью переходов, workflow</w:t>
      </w:r>
      <w:r>
        <w:rPr>
          <w:strike/>
        </w:rPr>
        <w:t xml:space="preserve">состоянием записи и применением workflow</w:t>
      </w:r>
      <w:r>
        <w:t xml:space="preserve">действий. API только ссылается на workflow keys в mapping profile и не реализует собственный workflow engine.</w:t>
      </w:r>
    </w:p>
    <w:p>
      <w:pPr>
        <w:pStyle w:val="BodyText"/>
      </w:pPr>
      <w:r>
        <w:t xml:space="preserve">Security владеет правами, masking, grants/denies, field security, view security, service accounts и безопасными отказами доступа. API обязан использовать Security для операций с mapping/external ids и не должен создавать параллельный механизм прав.</w:t>
      </w:r>
    </w:p>
    <w:p>
      <w:pPr>
        <w:pStyle w:val="BodyText"/>
      </w:pPr>
      <w:r>
        <w:t xml:space="preserve">Users и Organisations владеют пользователями, организациями, подтвержденными контактами, внешними участниками, делегированием и resolver-ами участников. API использует resolver contract и не хранит частную копию пользовательской модели.</w:t>
      </w:r>
    </w:p>
    <w:p>
      <w:pPr>
        <w:pStyle w:val="BodyText"/>
      </w:pPr>
      <w:r>
        <w:t xml:space="preserve">Доменные модули владеют своими бизнес</w:t>
      </w:r>
      <w:r>
        <w:rPr>
          <w:strike/>
        </w:rPr>
        <w:t xml:space="preserve">операциями, сохранением изменений, прикладной валидацией и преобразованием нормализованного API</w:t>
      </w:r>
      <w:r>
        <w:t xml:space="preserve">result в реальные изменения записи. API dry</w:t>
      </w:r>
      <w:r>
        <w:rPr>
          <w:strike/>
        </w:rPr>
        <w:t xml:space="preserve">run может построить proposed change plan, но фактическое применение изменений должно делегироваться модулю</w:t>
      </w:r>
      <w:r>
        <w:t xml:space="preserve">владельцу объекта.</w:t>
      </w:r>
    </w:p>
    <w:p>
      <w:pPr>
        <w:pStyle w:val="BodyText"/>
      </w:pPr>
      <w:r>
        <w:t xml:space="preserve">EventBus и Queue не получают новую ответственность в этом срезе. Полноценный bidirectional sync, доставка событий, retry, dead-letter, schedule и execution runtime должны реализовываться отдельными задачами поверх готового mapping/external id contract.</w:t>
      </w:r>
    </w:p>
    <w:p>
      <w:pPr>
        <w:pStyle w:val="BodyText"/>
      </w:pPr>
      <w:r>
        <w:t xml:space="preserve">JSONRPC и REST остаются transport</w:t>
      </w:r>
      <w:r>
        <w:rPr>
          <w:strike/>
        </w:rPr>
        <w:t xml:space="preserve">слоями. Они могут передавать запросы к API</w:t>
      </w:r>
      <w:r>
        <w:t xml:space="preserve">операциям mapping/external ids, но не владеют mapping profile, ExternalId registry, where-used или diagnostics.</w:t>
      </w:r>
    </w:p>
    <w:p>
      <w:pPr>
        <w:pStyle w:val="BodyText"/>
      </w:pPr>
      <w:r>
        <w:t xml:space="preserve">В этот срез не входит реализация конкретного Jira adapter, внешней ticket</w:t>
      </w:r>
      <w:r>
        <w:rPr>
          <w:strike/>
        </w:rPr>
        <w:t xml:space="preserve">system интеграции, почтового adapter, webhook adapter, полноценного bidirectional sync runtime, сложного field</w:t>
      </w:r>
      <w:r>
        <w:t xml:space="preserve">level merge и ручного conflict resolution UI. Эти задачи должны заводиться отдельно после выбора первого реального внешнего потребителя.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API есть реестр ExternalId, который связывает external system, adapter profile, object type, external id и внутренний record key или record reference.</w:t>
      </w:r>
    </w:p>
    <w:p>
      <w:pPr>
        <w:pStyle w:val="BodyText"/>
      </w:pPr>
      <w:r>
        <w:t xml:space="preserve">По external id можно найти внутренний объект только с учетом adapter profile, external system и object type; неоднозначность возвращает безопасную диагностическую ошибку.</w:t>
      </w:r>
    </w:p>
    <w:p>
      <w:pPr>
        <w:pStyle w:val="BodyText"/>
      </w:pPr>
      <w:r>
        <w:t xml:space="preserve">Один внутренний объект может иметь несколько external ids в разных profiles/external systems без записи внешних ключей в частные поля доменного модуля.</w:t>
      </w:r>
    </w:p>
    <w:p>
      <w:pPr>
        <w:pStyle w:val="BodyText"/>
      </w:pPr>
      <w:r>
        <w:t xml:space="preserve">Правила уникальности external ids предотвращают дубли там, где policy не допускает неоднозначность.</w:t>
      </w:r>
    </w:p>
    <w:p>
      <w:pPr>
        <w:pStyle w:val="BodyText"/>
      </w:pPr>
      <w:r>
        <w:t xml:space="preserve">Mapping profile описывает mapping полей, workflow</w:t>
      </w:r>
      <w:r>
        <w:rPr>
          <w:strike/>
        </w:rPr>
        <w:t xml:space="preserve">статусов, workflow</w:t>
      </w:r>
      <w:r>
        <w:t xml:space="preserve">переходов и участников через контракты FieldConfiguration, Workflow*, Users и Organisations.</w:t>
      </w:r>
    </w:p>
    <w:p>
      <w:pPr>
        <w:pStyle w:val="BodyText"/>
      </w:pPr>
      <w:r>
        <w:t xml:space="preserve">Mapping profile не использует физические номера полей, подполей или внутренние структуры записей доменных модулей.</w:t>
      </w:r>
    </w:p>
    <w:p>
      <w:pPr>
        <w:pStyle w:val="BodyText"/>
      </w:pPr>
      <w:r>
        <w:t xml:space="preserve">Dry-run mapping показывает normalized result, matched external id, proposed changes, warnings, errors, required permissions и диагностические details без сохранения записи и без внешних побочных эффектов.</w:t>
      </w:r>
    </w:p>
    <w:p>
      <w:pPr>
        <w:pStyle w:val="BodyText"/>
      </w:pPr>
      <w:r>
        <w:t xml:space="preserve">Where-used показывает использование external ids и mapping rules в adapter profiles, object types, API methods, fields, statuses, transitions, user resolver bindings и внутренних записях.</w:t>
      </w:r>
    </w:p>
    <w:p>
      <w:pPr>
        <w:pStyle w:val="BodyText"/>
      </w:pPr>
      <w:r>
        <w:t xml:space="preserve">HealthCheck находит дубли external ids, broken references, неизвестные field/status/transition keys, проблемы resolver-ов, несовместимые версии APIContract и отсутствие TestA coverage.</w:t>
      </w:r>
    </w:p>
    <w:p>
      <w:pPr>
        <w:pStyle w:val="BodyText"/>
      </w:pPr>
      <w:r>
        <w:t xml:space="preserve">Security проверяет права на просмотр, создание, изменение, деактивацию, export и dry-run mapping/external ids; ошибки не раскрывают скрытые записи, поля, пользователей, файлы или external ids.</w:t>
      </w:r>
    </w:p>
    <w:p>
      <w:pPr>
        <w:pStyle w:val="BodyText"/>
      </w:pPr>
      <w:r>
        <w:t xml:space="preserve">TraceContext доступен в diagnostics mapping/external id операций; diagnostic details не содержат secret values и лишних персональных данных.</w:t>
      </w:r>
    </w:p>
    <w:p>
      <w:pPr>
        <w:pStyle w:val="BodyText"/>
      </w:pPr>
      <w:r>
        <w:t xml:space="preserve">TestA покрывает позитивные и негативные сценарии ExternalId lookup, duplicate detection, dry</w:t>
      </w:r>
      <w:r>
        <w:rPr>
          <w:strike/>
        </w:rPr>
        <w:t xml:space="preserve">run mapping, field/status/transition/user mapping, Security denial, HealthCheck provider checks и отсутствие изменений данных при dry</w:t>
      </w:r>
      <w:r>
        <w:t xml:space="preserve">run.</w:t>
      </w:r>
    </w:p>
    <w:p>
      <w:pPr>
        <w:pStyle w:val="BodyText"/>
      </w:pPr>
      <w:r>
        <w:t xml:space="preserve">Help содержит руководство администратора и разработчика по ExternalId, mapping profile, where</w:t>
      </w:r>
      <w:r>
        <w:rPr>
          <w:strike/>
        </w:rPr>
        <w:t xml:space="preserve">used, dry</w:t>
      </w:r>
      <w:r>
        <w:t xml:space="preserve">run, диагностике конфликтов и границам с FieldConfiguration, Workflow*, Security, Users/Organisations и доменными модулями.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I128-2830 для существующего модуля API.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APIContract с системным legacy JSON</w:t>
      </w:r>
      <w:r>
        <w:rPr>
          <w:strike/>
        </w:rPr>
        <w:t xml:space="preserve">RPC контрактом api.legacy</w:t>
      </w:r>
      <w:r>
        <w:t xml:space="preserve">jsonrpc.v1;</w:t>
      </w:r>
      <w:r>
        <w:t xml:space="preserve"> </w:t>
      </w:r>
      <w:r>
        <w:t xml:space="preserve">- описаны metadata текущих JSON-RPC методов без изменения их поведения;</w:t>
      </w:r>
      <w:r>
        <w:t xml:space="preserve"> </w:t>
      </w:r>
      <w:r>
        <w:t xml:space="preserve">- добавлены схемы IntegrationAdapterProfile, idempotency policy и diagnostics;</w:t>
      </w:r>
      <w:r>
        <w:t xml:space="preserve"> </w:t>
      </w:r>
      <w:r>
        <w:t xml:space="preserve">- добавлены чтение record</w:t>
      </w:r>
      <w:r>
        <w:rPr>
          <w:strike/>
        </w:rPr>
        <w:t xml:space="preserve">backed API</w:t>
      </w:r>
      <w:r>
        <w:t xml:space="preserve">контрактов/профилей, валидаторы и API/CheckHealth;</w:t>
      </w:r>
      <w:r>
        <w:t xml:space="preserve"> </w:t>
      </w:r>
      <w:r>
        <w:t xml:space="preserve">- включен административный список API</w:t>
      </w:r>
      <w:r>
        <w:rPr>
          <w:strike/>
        </w:rPr>
        <w:t xml:space="preserve">записей и brief</w:t>
      </w:r>
      <w:r>
        <w:t xml:space="preserve">формат;</w:t>
      </w:r>
      <w:r>
        <w:t xml:space="preserve"> </w:t>
      </w:r>
      <w:r>
        <w:t xml:space="preserve">- обновлены Help-разделы;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проверки.</w:t>
      </w:r>
    </w:p>
    <w:p>
      <w:pPr>
        <w:pStyle w:val="BodyText"/>
      </w:pPr>
      <w:r>
        <w:t xml:space="preserve">Не входит в этот PR:</w:t>
      </w:r>
      <w:r>
        <w:t xml:space="preserve"> </w:t>
      </w:r>
      <w:r>
        <w:t xml:space="preserve">- runtime mapping/external ids (I128-2831);</w:t>
      </w:r>
      <w:r>
        <w:t xml:space="preserve"> </w:t>
      </w:r>
      <w:r>
        <w:t xml:space="preserve">- bidirectional sync/conflict resolution (I128-2832);</w:t>
      </w:r>
      <w:r>
        <w:t xml:space="preserve"> </w:t>
      </w:r>
      <w:r>
        <w:t xml:space="preserve">- конкретные внешние adapters.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по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API safe</w:t>
      </w:r>
      <w:r>
        <w:rPr>
          <w:strike/>
        </w:rPr>
        <w:t xml:space="preserve">read + structural, 17/17 passed, runid 20260905061722</w:t>
      </w:r>
      <w:r>
        <w:t xml:space="preserve">66d96956.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второй API</w:t>
      </w:r>
      <w:r>
        <w:rPr>
          <w:strike/>
        </w:rPr>
        <w:t xml:space="preserve">срез I128</w:t>
      </w:r>
      <w:r>
        <w:t xml:space="preserve">2831 поверх I128-2830.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добавлены отдельные API-записи kind=mappingProfile и kind=externalId;</w:t>
      </w:r>
      <w:r>
        <w:t xml:space="preserve"> </w:t>
      </w:r>
      <w:r>
        <w:t xml:space="preserve">- добавлены схемы MappingProfile и ExternalId;</w:t>
      </w:r>
      <w:r>
        <w:t xml:space="preserve"> </w:t>
      </w:r>
      <w:r>
        <w:t xml:space="preserve">- добавлены функции чтения реестров, lookup ExternalId, where</w:t>
      </w:r>
      <w:r>
        <w:rPr>
          <w:strike/>
        </w:rPr>
        <w:t xml:space="preserve">used, dry</w:t>
      </w:r>
      <w:r>
        <w:t xml:space="preserve">run mapping;</w:t>
      </w:r>
      <w:r>
        <w:t xml:space="preserve"> </w:t>
      </w:r>
      <w:r>
        <w:t xml:space="preserve">- добавлены управляемые операции RegisterExternalId и DeactivateExternalId с проверкой прав на запись модуля API;</w:t>
      </w:r>
      <w:r>
        <w:t xml:space="preserve"> </w:t>
      </w:r>
      <w:r>
        <w:t xml:space="preserve">- расширены editor variables и индексы 1288 для mapping/external ids;</w:t>
      </w:r>
      <w:r>
        <w:t xml:space="preserve"> </w:t>
      </w:r>
      <w:r>
        <w:t xml:space="preserve">- расширены ExportContractRegistry, CheckHealth и diagnostics schema;</w:t>
      </w:r>
      <w:r>
        <w:t xml:space="preserve"> </w:t>
      </w:r>
      <w:r>
        <w:t xml:space="preserve">- обновлены Help-разделы API;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 mapping/external ids.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API владеет mapping/external id contract, lookup, where</w:t>
      </w:r>
      <w:r>
        <w:rPr>
          <w:strike/>
        </w:rPr>
        <w:t xml:space="preserve">used, dry</w:t>
      </w:r>
      <w:r>
        <w:t xml:space="preserve">run и diagnostics;</w:t>
      </w:r>
      <w:r>
        <w:t xml:space="preserve"> </w:t>
      </w:r>
      <w:r>
        <w:t xml:space="preserve">- FieldConfiguration, Workflow*, Security, Users/Organisations, FT и доменные модули остаются владельцами своих контрактов;</w:t>
      </w:r>
      <w:r>
        <w:t xml:space="preserve"> </w:t>
      </w:r>
      <w:r>
        <w:t xml:space="preserve">- полноценный bidirectional sync/conflict resolution не входит в этот PR и остается в I128-2832.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файлов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API safe-read structural: 30/30 passed.</w:t>
      </w:r>
    </w:p>
    <w:p>
      <w:pPr>
        <w:pStyle w:val="BodyText"/>
      </w:pPr>
      <w:r>
        <w:t xml:space="preserve">База PR: feature/I128</w:t>
      </w:r>
      <w:r>
        <w:rPr>
          <w:strike/>
        </w:rPr>
        <w:t xml:space="preserve">2830</w:t>
      </w:r>
      <w:r>
        <w:t xml:space="preserve">api</w:t>
      </w:r>
      <w:r>
        <w:rPr>
          <w:strike/>
        </w:rPr>
        <w:t xml:space="preserve">contract</w:t>
      </w:r>
      <w:r>
        <w:t xml:space="preserve">registry, потому что I128</w:t>
      </w:r>
      <w:r>
        <w:rPr>
          <w:strike/>
        </w:rPr>
        <w:t xml:space="preserve">2831 зависит от открытого PR #1329 / I128</w:t>
      </w:r>
      <w:r>
        <w:t xml:space="preserve">2830.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2"/>
    <w:p>
      <w:pPr>
        <w:pStyle w:val="Heading3"/>
      </w:pPr>
      <w:r>
        <w:t xml:space="preserve">1.1. 🔗 blocks: I128-2832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3"/>
    <w:p>
      <w:pPr>
        <w:pStyle w:val="Heading3"/>
      </w:pPr>
      <w:r>
        <w:t xml:space="preserve">1.7. 🔗 blocks: I128-2813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5"/>
    <w:p>
      <w:pPr>
        <w:pStyle w:val="Heading3"/>
      </w:pPr>
      <w:r>
        <w:t xml:space="preserve">1.9. 🔗 blocks: I128-2825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30"/>
    <w:p>
      <w:pPr>
        <w:pStyle w:val="Heading3"/>
      </w:pPr>
      <w:r>
        <w:t xml:space="preserve">1.10. 🔗 blocks: I128-2830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13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5/README" TargetMode="External" /><Relationship Type="http://schemas.openxmlformats.org/officeDocument/2006/relationships/hyperlink" Id="rId27" Target="?id=Help/Show&amp;m=Help/GeneralDescription/WhatsNew/I128/TaskInfo/I128-2830/README" TargetMode="External" /><Relationship Type="http://schemas.openxmlformats.org/officeDocument/2006/relationships/hyperlink" Id="rId9" Target="?id=Help/Show&amp;m=Help/GeneralDescription/WhatsNew/I128/TaskInfo/I128-28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13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5/README" TargetMode="External" /><Relationship Type="http://schemas.openxmlformats.org/officeDocument/2006/relationships/hyperlink" Id="rId27" Target="?id=Help/Show&amp;m=Help/GeneralDescription/WhatsNew/I128/TaskInfo/I128-2830/README" TargetMode="External" /><Relationship Type="http://schemas.openxmlformats.org/officeDocument/2006/relationships/hyperlink" Id="rId9" Target="?id=Help/Show&amp;m=Help/GeneralDescription/WhatsNew/I128/TaskInfo/I128-28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[I128-2831] Mapping внешних интеграций и реестр ExternalId в модуле API</dc:title>
  <dc:creator/>
  <cp:keywords/>
  <dcterms:created xsi:type="dcterms:W3CDTF">2026-09-20T18:44:46Z</dcterms:created>
  <dcterms:modified xsi:type="dcterms:W3CDTF">2026-09-20T18:44:46Z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