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[I128-2171] БД, открываемые в режиме ReadOnly (с минусом перед именем) каждый раз открываются заново в функции i128f::OpenDbByMnemonicName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d749930551cd9e16feab4d57f59e8a38b098ff3"/>
    <w:p>
      <w:pPr>
        <w:pStyle w:val="Heading1"/>
      </w:pPr>
      <w:r>
        <w:t xml:space="preserve">[I128-2171] БД, открываемые в режиме ReadOnly (с минусом перед именем) каждый раз открываются заново в функции i128f::OpenDbByMnemonicName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[I128-2171] БД, открываемые в режиме ReadOnly (с минусом перед именем) каждый раз открываются заново в функции i128f::OpenDbByMnemonicName</dc:title>
  <dc:creator/>
  <cp:keywords/>
  <dcterms:created xsi:type="dcterms:W3CDTF">2026-08-27T21:32:31Z</dcterms:created>
  <dcterms:modified xsi:type="dcterms:W3CDTF">2026-08-27T21:32:31Z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