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Команды вывода полей</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3" w:name="команды-вывода-полей"/>
    <w:p>
      <w:pPr>
        <w:pStyle w:val="Heading1"/>
      </w:pPr>
      <w:r>
        <w:t xml:space="preserve">Команды вывода полей</w:t>
      </w:r>
    </w:p>
    <w:p>
      <w:pPr>
        <w:pStyle w:val="FirstParagraph"/>
      </w:pPr>
      <w:r>
        <w:t xml:space="preserve">Команды вывода полей - это команды, используемые для извлечения из записи и вывода конкретного поля или подполя. Имеется специальная команда для извлечения и вывода номера записи MFN, хотя, строго говоря, MFN не является полем (MFN не имеет метки).</w:t>
      </w:r>
    </w:p>
    <w:bookmarkStart w:id="9" w:name="команда-вывода-поля"/>
    <w:p>
      <w:pPr>
        <w:pStyle w:val="Heading2"/>
      </w:pPr>
      <w:r>
        <w:t xml:space="preserve">1. Команда вывода поля</w:t>
      </w:r>
    </w:p>
    <w:p>
      <w:pPr>
        <w:pStyle w:val="FirstParagraph"/>
      </w:pPr>
      <w:r>
        <w:t xml:space="preserve">Для указания на необходимость вывода поля из записи необходимо записать букву v, за которой должна следовать метка поля. Это может быть прописная или строчная буква. Ниже приведены примеры применения данной команды.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v210</w:t>
            </w:r>
          </w:p>
        </w:tc>
        <w:tc>
          <w:tcPr/>
          <w:p>
            <w:pPr>
              <w:pStyle w:val="Compact"/>
            </w:pPr>
            <w:r>
              <w:t xml:space="preserve">^cВоенное изд-во</w:t>
            </w:r>
            <w:r>
              <w:rPr>
                <w:vertAlign w:val="superscript"/>
              </w:rPr>
              <w:t xml:space="preserve">aМ.</w:t>
            </w:r>
            <w:r>
              <w:t xml:space="preserve">d1993</w:t>
            </w:r>
          </w:p>
        </w:tc>
      </w:tr>
      <w:tr>
        <w:tc>
          <w:tcPr/>
          <w:p>
            <w:pPr>
              <w:pStyle w:val="Compact"/>
            </w:pPr>
            <w:r>
              <w:t xml:space="preserve">v200</w:t>
            </w:r>
          </w:p>
        </w:tc>
        <w:tc>
          <w:tcPr/>
          <w:p>
            <w:pPr>
              <w:pStyle w:val="Compact"/>
            </w:pPr>
            <w:r>
              <w:t xml:space="preserve">^aКонструктор Сухой. Люди и самолеты</w:t>
            </w:r>
          </w:p>
        </w:tc>
      </w:tr>
      <w:tr>
        <w:tc>
          <w:tcPr/>
          <w:p>
            <w:pPr>
              <w:pStyle w:val="Compact"/>
            </w:pPr>
            <w:r>
              <w:t xml:space="preserve">v700</w:t>
            </w:r>
          </w:p>
        </w:tc>
        <w:tc>
          <w:tcPr/>
          <w:p>
            <w:pPr>
              <w:pStyle w:val="Compact"/>
            </w:pPr>
            <w:r>
              <w:rPr>
                <w:vertAlign w:val="superscript"/>
              </w:rPr>
              <w:t xml:space="preserve">aКузьмина</w:t>
            </w:r>
            <w:r>
              <w:t xml:space="preserve">bЛ.М.</w:t>
            </w:r>
          </w:p>
        </w:tc>
      </w:tr>
      <w:tr>
        <w:tc>
          <w:tcPr/>
          <w:p>
            <w:pPr>
              <w:pStyle w:val="Compact"/>
            </w:pPr>
            <w:r>
              <w:t xml:space="preserve">v600</w:t>
            </w:r>
          </w:p>
        </w:tc>
        <w:tc>
          <w:tcPr/>
          <w:p>
            <w:pPr>
              <w:pStyle w:val="Compact"/>
            </w:pPr>
            <w:r>
              <w:t xml:space="preserve">^AСухой П.О.^Bо нем</w:t>
            </w:r>
          </w:p>
        </w:tc>
      </w:tr>
    </w:tbl>
    <w:bookmarkEnd w:id="9"/>
    <w:bookmarkStart w:id="10" w:name="команда-вывода-подполя"/>
    <w:p>
      <w:pPr>
        <w:pStyle w:val="Heading2"/>
      </w:pPr>
      <w:r>
        <w:t xml:space="preserve">2. Команда вывода подполя</w:t>
      </w:r>
    </w:p>
    <w:p>
      <w:pPr>
        <w:pStyle w:val="FirstParagraph"/>
      </w:pPr>
      <w:r>
        <w:t xml:space="preserve">Для вывода конкретного подполя из данного поля следует добавить соответствующий разделитель подполей к метке поля, как показано ниже. Заметим, что можно использовать специальный разделитель подполей ^* для вывода первого подполя, если оно есть. В этом случае, первому подполю необязательно должен предшествовать его разделитель.</w:t>
      </w:r>
      <w:r>
        <w:t xml:space="preserve"> </w:t>
      </w:r>
      <w:r>
        <w:t xml:space="preserve">Разделитель подполей может быть прописной или строчной буквой (обязательно латинской).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v210^с</w:t>
            </w:r>
          </w:p>
        </w:tc>
        <w:tc>
          <w:tcPr/>
          <w:p>
            <w:pPr>
              <w:pStyle w:val="Compact"/>
            </w:pPr>
            <w:r>
              <w:t xml:space="preserve">Военное изд-во</w:t>
            </w:r>
          </w:p>
        </w:tc>
      </w:tr>
      <w:tr>
        <w:tc>
          <w:tcPr/>
          <w:p>
            <w:pPr>
              <w:pStyle w:val="Compact"/>
            </w:pPr>
            <w:r>
              <w:t xml:space="preserve">v200^a</w:t>
            </w:r>
          </w:p>
        </w:tc>
        <w:tc>
          <w:tcPr/>
          <w:p>
            <w:pPr>
              <w:pStyle w:val="Compact"/>
            </w:pPr>
            <w:r>
              <w:t xml:space="preserve">Конструктор Сухой. Люди и самолеты</w:t>
            </w:r>
          </w:p>
        </w:tc>
      </w:tr>
      <w:tr>
        <w:tc>
          <w:tcPr/>
          <w:p>
            <w:pPr>
              <w:pStyle w:val="Compact"/>
            </w:pPr>
            <w:r>
              <w:t xml:space="preserve">v700^a</w:t>
            </w:r>
          </w:p>
        </w:tc>
        <w:tc>
          <w:tcPr/>
          <w:p>
            <w:pPr>
              <w:pStyle w:val="Compact"/>
            </w:pPr>
            <w:r>
              <w:t xml:space="preserve">Кузьмина</w:t>
            </w:r>
          </w:p>
        </w:tc>
      </w:tr>
      <w:tr>
        <w:tc>
          <w:tcPr/>
          <w:p>
            <w:pPr>
              <w:pStyle w:val="Compact"/>
            </w:pPr>
            <w:r>
              <w:t xml:space="preserve">v600^*</w:t>
            </w:r>
          </w:p>
        </w:tc>
        <w:tc>
          <w:tcPr/>
          <w:p>
            <w:pPr>
              <w:pStyle w:val="Compact"/>
            </w:pPr>
            <w:r>
              <w:t xml:space="preserve">Сухой П.О.</w:t>
            </w:r>
          </w:p>
        </w:tc>
      </w:tr>
    </w:tbl>
    <w:bookmarkEnd w:id="10"/>
    <w:bookmarkStart w:id="11" w:name="вывод-фрагмента-поля-или-подполя"/>
    <w:p>
      <w:pPr>
        <w:pStyle w:val="Heading2"/>
      </w:pPr>
      <w:r>
        <w:t xml:space="preserve">3. Вывод фрагмента поля или подполя</w:t>
      </w:r>
    </w:p>
    <w:p>
      <w:pPr>
        <w:pStyle w:val="FirstParagraph"/>
      </w:pPr>
      <w:r>
        <w:t xml:space="preserve">В некоторых случаях может возникнуть необходимость вывести часть поля, которая не является подполем, особенно тогда, когда поле имеет фиксированный формат (например, запись даты в виде ГГГГММДД). Это можно сделать командой смещение/длина, размещаемой сразу за командой вывода поля или подполя, к которому команда применяется.</w:t>
      </w:r>
    </w:p>
    <w:p>
      <w:pPr>
        <w:pStyle w:val="BodyText"/>
      </w:pPr>
      <w:r>
        <w:t xml:space="preserve">Эта команда имеет вид:</w:t>
      </w:r>
    </w:p>
    <w:p>
      <w:pPr>
        <w:pStyle w:val="SourceCode"/>
      </w:pPr>
      <w:r>
        <w:rPr>
          <w:rStyle w:val="NormalTok"/>
        </w:rPr>
        <w:t xml:space="preserve">*&lt;смещение&gt;.&lt;длина&gt;</w:t>
      </w:r>
    </w:p>
    <w:p>
      <w:pPr>
        <w:pStyle w:val="FirstParagraph"/>
      </w:pPr>
      <w:r>
        <w:t xml:space="preserve">где:</w:t>
      </w:r>
    </w:p>
    <w:p>
      <w:pPr>
        <w:pStyle w:val="BodyText"/>
      </w:pPr>
      <w:r>
        <w:t xml:space="preserve">*</w:t>
      </w:r>
      <w:r>
        <w:t xml:space="preserve"> </w:t>
      </w:r>
      <w:r>
        <w:t xml:space="preserve">Указывает позицию первого символа фрагмента, который должен быть извлечен из поля или подполя (позиции символов нумеруются с нуля, т.е. первый символ находится в пози-ции 0, второй - в позиции 1 и т.д.); если смещение не указано, то оно считается равным 0;</w:t>
      </w:r>
    </w:p>
    <w:p>
      <w:pPr>
        <w:pStyle w:val="BodyText"/>
      </w:pPr>
      <w:r>
        <w:t xml:space="preserve">.</w:t>
      </w:r>
      <w:r>
        <w:t xml:space="preserve"> </w:t>
      </w:r>
      <w:r>
        <w:t xml:space="preserve">Указывает количество извлекаемых символов. Если длина опущена, то извлекается все поле (подполе) до конца, начиная с символа, указанного в смещении.</w:t>
      </w:r>
    </w:p>
    <w:p>
      <w:pPr>
        <w:pStyle w:val="BodyText"/>
      </w:pPr>
      <w:r>
        <w:t xml:space="preserve">Ниже приведены примеры использования команды по отношению к записи, которая в качестве поля с меткой 1 содержит следующее значение:</w:t>
      </w:r>
    </w:p>
    <w:p>
      <w:pPr>
        <w:pStyle w:val="SourceCode"/>
      </w:pPr>
      <w:r>
        <w:rPr>
          <w:rStyle w:val="NormalTok"/>
        </w:rPr>
        <w:t xml:space="preserve">88-Nov-05</w:t>
      </w:r>
    </w:p>
    <w:p>
      <w:pPr>
        <w:pStyle w:val="FirstParagraph"/>
      </w:pPr>
      <w:r>
        <w:t xml:space="preserve">@@</w:t>
      </w:r>
      <w:r>
        <w:t xml:space="preserve">@warn</w:t>
      </w:r>
      <w:r>
        <w:t xml:space="preserve"> </w:t>
      </w:r>
      <w:r>
        <w:t xml:space="preserve">Обратите внимание на различные способы манипулирования полями с подполями в последних двух примерах. Если производится ссылка на поле целиком (например, v210), то нулевое смещение указывает на первую фактическую позицию поля (включая возможные разделители, стоящие в начале), а при ссылке на подполе (например, v210^с) нулевое смещение указывает на первый символ данных, стоящий после разделителя подполей.</w:t>
      </w:r>
      <w:r>
        <w:t xml:space="preserve"> </w:t>
      </w:r>
      <w: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v1*3.3</w:t>
            </w:r>
          </w:p>
        </w:tc>
        <w:tc>
          <w:tcPr/>
          <w:p>
            <w:pPr>
              <w:pStyle w:val="Compact"/>
            </w:pPr>
            <w:r>
              <w:t xml:space="preserve">Nov</w:t>
            </w:r>
          </w:p>
        </w:tc>
      </w:tr>
      <w:tr>
        <w:tc>
          <w:tcPr/>
          <w:p>
            <w:pPr>
              <w:pStyle w:val="Compact"/>
            </w:pPr>
            <w:r>
              <w:t xml:space="preserve">v1.2</w:t>
            </w:r>
          </w:p>
        </w:tc>
        <w:tc>
          <w:tcPr/>
          <w:p>
            <w:pPr>
              <w:pStyle w:val="Compact"/>
            </w:pPr>
            <w:r>
              <w:t xml:space="preserve">88</w:t>
            </w:r>
          </w:p>
        </w:tc>
      </w:tr>
      <w:tr>
        <w:tc>
          <w:tcPr/>
          <w:p>
            <w:pPr>
              <w:pStyle w:val="Compact"/>
            </w:pPr>
            <w:r>
              <w:t xml:space="preserve">v1*7</w:t>
            </w:r>
          </w:p>
        </w:tc>
        <w:tc>
          <w:tcPr/>
          <w:p>
            <w:pPr>
              <w:pStyle w:val="Compact"/>
            </w:pPr>
            <w:r>
              <w:t xml:space="preserve">05</w:t>
            </w:r>
          </w:p>
        </w:tc>
      </w:tr>
      <w:tr>
        <w:tc>
          <w:tcPr/>
          <w:p>
            <w:pPr>
              <w:pStyle w:val="Compact"/>
            </w:pPr>
            <w:r>
              <w:t xml:space="preserve">v1</w:t>
            </w:r>
            <w:r>
              <w:rPr>
                <w:i/>
                <w:iCs/>
              </w:rPr>
              <w:t xml:space="preserve">7,v1</w:t>
            </w:r>
            <w:r>
              <w:t xml:space="preserve">2.4</w:t>
            </w:r>
          </w:p>
        </w:tc>
        <w:tc>
          <w:tcPr/>
          <w:p>
            <w:pPr>
              <w:pStyle w:val="Compact"/>
            </w:pPr>
            <w:r>
              <w:t xml:space="preserve">05-Nov</w:t>
            </w:r>
          </w:p>
        </w:tc>
      </w:tr>
      <w:tr>
        <w:tc>
          <w:tcPr/>
          <w:p>
            <w:pPr>
              <w:pStyle w:val="Compact"/>
            </w:pPr>
            <w:r>
              <w:t xml:space="preserve">v1</w:t>
            </w:r>
            <w:r>
              <w:rPr>
                <w:i/>
                <w:iCs/>
              </w:rPr>
              <w:t xml:space="preserve">7,v1</w:t>
            </w:r>
            <w:r>
              <w:t xml:space="preserve">2.5,v1.2</w:t>
            </w:r>
          </w:p>
        </w:tc>
        <w:tc>
          <w:tcPr/>
          <w:p>
            <w:pPr>
              <w:pStyle w:val="Compact"/>
            </w:pPr>
            <w:r>
              <w:t xml:space="preserve">05-Nov-88</w:t>
            </w:r>
          </w:p>
        </w:tc>
      </w:tr>
      <w:tr>
        <w:tc>
          <w:tcPr/>
          <w:p>
            <w:pPr>
              <w:pStyle w:val="Compact"/>
            </w:pPr>
            <w:r>
              <w:t xml:space="preserve">v210.3</w:t>
            </w:r>
          </w:p>
        </w:tc>
        <w:tc>
          <w:tcPr/>
          <w:p>
            <w:pPr>
              <w:pStyle w:val="Compact"/>
            </w:pPr>
            <w:r>
              <w:t xml:space="preserve">^cВ</w:t>
            </w:r>
          </w:p>
        </w:tc>
      </w:tr>
      <w:tr>
        <w:tc>
          <w:tcPr/>
          <w:p>
            <w:pPr>
              <w:pStyle w:val="Compact"/>
            </w:pPr>
            <w:r>
              <w:t xml:space="preserve">v210^c.3</w:t>
            </w:r>
          </w:p>
        </w:tc>
        <w:tc>
          <w:tcPr/>
          <w:p>
            <w:pPr>
              <w:pStyle w:val="Compact"/>
            </w:pPr>
            <w:r>
              <w:t xml:space="preserve">Вое</w:t>
            </w:r>
          </w:p>
        </w:tc>
      </w:tr>
    </w:tbl>
    <w:bookmarkEnd w:id="11"/>
    <w:bookmarkStart w:id="12" w:name="команда-вывода-mfn"/>
    <w:p>
      <w:pPr>
        <w:pStyle w:val="Heading2"/>
      </w:pPr>
      <w:r>
        <w:t xml:space="preserve">4. Команда вывода MFN</w:t>
      </w:r>
    </w:p>
    <w:p>
      <w:pPr>
        <w:pStyle w:val="FirstParagraph"/>
      </w:pPr>
      <w:r>
        <w:t xml:space="preserve">Для вывода номера записи в файле документов служит команда MFN, формат которой:</w:t>
      </w:r>
    </w:p>
    <w:p>
      <w:pPr>
        <w:pStyle w:val="SourceCode"/>
      </w:pPr>
      <w:r>
        <w:rPr>
          <w:rStyle w:val="NormalTok"/>
        </w:rPr>
        <w:t xml:space="preserve">MFN или MFN(d),</w:t>
      </w:r>
    </w:p>
    <w:p>
      <w:pPr>
        <w:pStyle w:val="FirstParagraph"/>
      </w:pPr>
      <w:r>
        <w:t xml:space="preserve">где d - количество выводимых на экран цифр. Если параметр (d) опущен, то по умолчанию предполагается 6 цифр. Ниже приводятся примеры использования данной команды.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MFN</w:t>
            </w:r>
          </w:p>
        </w:tc>
        <w:tc>
          <w:tcPr/>
          <w:p>
            <w:pPr>
              <w:pStyle w:val="Compact"/>
            </w:pPr>
            <w:r>
              <w:t xml:space="preserve">000034</w:t>
            </w:r>
          </w:p>
        </w:tc>
      </w:tr>
      <w:tr>
        <w:tc>
          <w:tcPr/>
          <w:p>
            <w:pPr>
              <w:pStyle w:val="Compact"/>
            </w:pPr>
            <w:r>
              <w:t xml:space="preserve">MFN(3)</w:t>
            </w:r>
          </w:p>
        </w:tc>
        <w:tc>
          <w:tcPr/>
          <w:p>
            <w:pPr>
              <w:pStyle w:val="Compact"/>
            </w:pPr>
            <w:r>
              <w:t xml:space="preserve">034</w:t>
            </w:r>
          </w:p>
        </w:tc>
      </w:tr>
      <w:tr>
        <w:tc>
          <w:tcPr/>
          <w:p>
            <w:pPr>
              <w:pStyle w:val="Compact"/>
            </w:pPr>
            <w:r>
              <w:t xml:space="preserve">MFN(2)</w:t>
            </w:r>
          </w:p>
        </w:tc>
        <w:tc>
          <w:tcPr/>
          <w:p>
            <w:pPr>
              <w:pStyle w:val="Compact"/>
            </w:pPr>
            <w:r>
              <w:t xml:space="preserve">34</w:t>
            </w:r>
          </w:p>
        </w:tc>
      </w:tr>
      <w:tr>
        <w:tc>
          <w:tcPr/>
          <w:p>
            <w:pPr>
              <w:pStyle w:val="Compact"/>
            </w:pPr>
            <w:r>
              <w:t xml:space="preserve">MFN(1)</w:t>
            </w:r>
          </w:p>
        </w:tc>
        <w:tc>
          <w:tcPr/>
          <w:p>
            <w:pPr>
              <w:pStyle w:val="Compact"/>
            </w:pPr>
            <w:r>
              <w:t xml:space="preserve">3</w:t>
            </w:r>
          </w:p>
        </w:tc>
      </w:tr>
    </w:tbl>
    <w:p>
      <w:pPr>
        <w:pStyle w:val="BodyText"/>
      </w:pPr>
      <w:r>
        <w:t xml:space="preserve">Заметим, что для подавления в MFN впереди стоящих нулей можно использовать функцию F.</w:t>
      </w:r>
    </w:p>
    <w:bookmarkEnd w:id="12"/>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Команды вывода полей</dc:title>
  <dc:creator/>
  <cp:keywords/>
  <dcterms:created xsi:type="dcterms:W3CDTF">2026-08-27T04:10:32Z</dcterms:created>
  <dcterms:modified xsi:type="dcterms:W3CDTF">2026-08-27T04:10:32Z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