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Меню СЕРВИС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меню-сервис"/>
    <w:p>
      <w:pPr>
        <w:pStyle w:val="Heading1"/>
      </w:pPr>
      <w:r>
        <w:t xml:space="preserve">Меню СЕРВИС</w:t>
      </w:r>
    </w:p>
    <w:p>
      <w:pPr>
        <w:pStyle w:val="CaptionedFigure"/>
      </w:pPr>
      <w:r>
        <w:drawing>
          <wp:inline>
            <wp:extent cx="2114550" cy="1076325"/>
            <wp:effectExtent b="0" l="0" r="0" t="0"/>
            <wp:docPr descr="Рисунок 1 - Меню СЕРВИС" title="Меню СЕРВИС" id="10" name="Picture"/>
            <a:graphic>
              <a:graphicData uri="http://schemas.openxmlformats.org/drawingml/2006/picture">
                <pic:pic>
                  <pic:nvPicPr>
                    <pic:cNvPr descr="modules/Help/Help/Admin64Client/images/rejservis_a_c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Меню СЕРВИС</w:t>
      </w:r>
    </w:p>
    <w:p>
      <w:pPr>
        <w:pStyle w:val="BodyText"/>
      </w:pPr>
      <w:r>
        <w:t xml:space="preserve">Режимы</w:t>
      </w:r>
      <w:r>
        <w:t xml:space="preserve"> </w:t>
      </w:r>
      <w:r>
        <w:t xml:space="preserve">* СПИСОК УДАЛЕННЫХ</w:t>
      </w:r>
      <w:r>
        <w:t xml:space="preserve"> </w:t>
      </w:r>
      <w:r>
        <w:t xml:space="preserve">* СПИСОК НЕАКТУАЛИЗИРОВАННЫХ</w:t>
      </w:r>
      <w:r>
        <w:t xml:space="preserve"> </w:t>
      </w:r>
      <w:r>
        <w:t xml:space="preserve">* СПИСОК ЗАБЛОКИРОВАННЫХ и</w:t>
      </w:r>
      <w:r>
        <w:t xml:space="preserve"> </w:t>
      </w:r>
      <w:r>
        <w:t xml:space="preserve">* ВЫПОЛНИТЬ ПАКЕТНОЕ ЗАДАНИЕ</w:t>
      </w:r>
    </w:p>
    <w:p>
      <w:pPr>
        <w:pStyle w:val="BodyText"/>
      </w:pPr>
      <w:r>
        <w:t xml:space="preserve">аналогичны одноименным режимам в АРМе Администратор-Серверный.</w:t>
      </w:r>
    </w:p>
    <w:bookmarkStart w:id="12" w:name="файл-пакетного-задания-арм-администратор"/>
    <w:p>
      <w:pPr>
        <w:pStyle w:val="Heading2"/>
      </w:pPr>
      <w:r>
        <w:t xml:space="preserve">Файл пакетного задания АРМ Администратор</w:t>
      </w:r>
    </w:p>
    <w:p>
      <w:pPr>
        <w:pStyle w:val="FirstParagraph"/>
      </w:pPr>
      <w:r>
        <w:t xml:space="preserve">Пакетное задание представляет собой текстовый файл, содержащийсписок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NormalTok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команд для пакетных заданий АРМа Администратор-Серверный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"/>
        <w:gridCol w:w="458"/>
        <w:gridCol w:w="78"/>
        <w:gridCol w:w="5047"/>
        <w:gridCol w:w="464"/>
        <w:gridCol w:w="185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н/п</w:t>
            </w:r>
          </w:p>
        </w:tc>
        <w:tc>
          <w:tcPr/>
          <w:p>
            <w:pPr>
              <w:pStyle w:val="Compact"/>
            </w:pPr>
            <w:r>
              <w:t xml:space="preserve">Назначение команды</w:t>
            </w:r>
          </w:p>
        </w:tc>
        <w:tc>
          <w:tcPr/>
          <w:p>
            <w:pPr>
              <w:pStyle w:val="Compact"/>
            </w:pPr>
            <w:r>
              <w:t xml:space="preserve">Оператор</w:t>
            </w:r>
          </w:p>
        </w:tc>
        <w:tc>
          <w:tcPr/>
          <w:p>
            <w:pPr>
              <w:pStyle w:val="Compact"/>
            </w:pPr>
            <w:r>
              <w:t xml:space="preserve">Операнды</w:t>
            </w:r>
          </w:p>
        </w:tc>
        <w:tc>
          <w:tcPr/>
          <w:p>
            <w:pPr>
              <w:pStyle w:val="Compact"/>
            </w:pPr>
            <w:r>
              <w:t xml:space="preserve">Пример</w:t>
            </w:r>
          </w:p>
        </w:tc>
        <w:tc>
          <w:tcPr/>
          <w:p>
            <w:pPr>
              <w:pStyle w:val="Compact"/>
            </w:pPr>
            <w:r>
              <w:t xml:space="preserve">Примечания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Открыть базу данных</w:t>
            </w:r>
          </w:p>
        </w:tc>
        <w:tc>
          <w:tcPr/>
          <w:p>
            <w:pPr>
              <w:pStyle w:val="Compact"/>
            </w:pPr>
            <w:r>
              <w:t xml:space="preserve">OpenDB</w:t>
            </w:r>
          </w:p>
        </w:tc>
        <w:tc>
          <w:tcPr/>
          <w:p>
            <w:pPr>
              <w:pStyle w:val="Compact"/>
            </w:pPr>
            <w: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OpenDB RDR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Создать новую БД</w:t>
            </w:r>
          </w:p>
        </w:tc>
        <w:tc>
          <w:tcPr/>
          <w:p>
            <w:pPr>
              <w:pStyle w:val="Compact"/>
            </w:pPr>
            <w:r>
              <w:t xml:space="preserve">NewDB</w:t>
            </w:r>
          </w:p>
        </w:tc>
        <w:tc>
          <w:tcPr/>
          <w:p>
            <w:pPr>
              <w:pStyle w:val="Compact"/>
            </w:pPr>
            <w:r>
              <w:t xml:space="preserve">Dbname,FullName,[0|1], [0|1], где:</w:t>
            </w:r>
          </w:p>
        </w:tc>
        <w:tc>
          <w:tcPr/>
          <w:p>
            <w:pPr>
              <w:pStyle w:val="Compact"/>
            </w:pPr>
            <w:r>
              <w:t xml:space="preserve">NewDB TEST,Тестовая,0,0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Опустошить БД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Удалить БД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Закрыть БД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Импорт данных</w:t>
            </w:r>
          </w:p>
        </w:tc>
        <w:tc>
          <w:tcPr/>
          <w:p>
            <w:pPr>
              <w:pStyle w:val="Compact"/>
            </w:pPr>
            <w:r>
              <w:t xml:space="preserve">ImportDB</w:t>
            </w:r>
          </w:p>
        </w:tc>
        <w:tc>
          <w:tcPr/>
          <w:p>
            <w:pPr>
              <w:pStyle w:val="Compact"/>
            </w:pPr>
            <w:r>
              <w:t xml:space="preserve">[0/#/@|1],FstName,[0|1],[0|1/2],FileName,[0|1], [0|1], [0|1], PftGblName где: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ImportDB 0,,0,1,c:\temp\11.iso,0,0,1,test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Экспорт данных</w:t>
            </w:r>
          </w:p>
        </w:tc>
        <w:tc>
          <w:tcPr/>
          <w:p>
            <w:pPr>
              <w:pStyle w:val="Compact"/>
            </w:pPr>
            <w:r>
              <w:t xml:space="preserve">ExportDB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[0|1/mfnfrom/mfnto],FstName,[0/#/@|1|2],[0|1|2],FileName, где:</w:t>
            </w:r>
          </w:p>
        </w:tc>
        <w:tc>
          <w:tcPr/>
          <w:p>
            <w:pPr>
              <w:pStyle w:val="Compact"/>
            </w:pPr>
            <w:r>
              <w:t xml:space="preserve">ExportDB 1/21/500,UMARCEW,0,1,c:\temp\22.iso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Копировать данные</w:t>
            </w:r>
          </w:p>
        </w:tc>
        <w:tc>
          <w:tcPr/>
          <w:p>
            <w:pPr>
              <w:pStyle w:val="Compact"/>
            </w:pPr>
            <w:r>
              <w:t xml:space="preserve">CopyDB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[0|1/mfnfrom/mfnto],FstName,DbName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COPYDB 1/10/100,,BOOK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БД в целом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записи</w:t>
            </w:r>
          </w:p>
        </w:tc>
        <w:tc>
          <w:tcPr/>
          <w:p>
            <w:pPr>
              <w:pStyle w:val="Compact"/>
            </w:pPr>
            <w:r>
              <w:t xml:space="preserve">UnLockRecord</w:t>
            </w:r>
          </w:p>
        </w:tc>
        <w:tc>
          <w:tcPr/>
          <w:p>
            <w:pPr>
              <w:pStyle w:val="Compact"/>
            </w:pPr>
            <w:r>
              <w:t xml:space="preserve">Mfn, где Mfn - номер документа</w:t>
            </w:r>
          </w:p>
        </w:tc>
        <w:tc>
          <w:tcPr/>
          <w:p>
            <w:pPr>
              <w:pStyle w:val="Compact"/>
            </w:pPr>
            <w:r>
              <w:t xml:space="preserve">UnLockRecord 255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со всех заблокированных записей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Актуализировать словарь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полностью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отбор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сортировка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загрузка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словарь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CopyMf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выходного файла</w:t>
            </w:r>
          </w:p>
        </w:tc>
        <w:tc>
          <w:tcPr/>
          <w:p>
            <w:pPr>
              <w:pStyle w:val="Compact"/>
            </w:pPr>
            <w:r>
              <w:t xml:space="preserve">CopyMf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Восстановить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RestoreMf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исходного файла</w:t>
            </w:r>
          </w:p>
        </w:tc>
        <w:tc>
          <w:tcPr/>
          <w:p>
            <w:pPr>
              <w:pStyle w:val="Compact"/>
            </w:pPr>
            <w:r>
              <w:t xml:space="preserve">RestoreMf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документов</w:t>
            </w:r>
          </w:p>
        </w:tc>
        <w:tc>
          <w:tcPr/>
          <w:p>
            <w:pPr>
              <w:pStyle w:val="Compact"/>
            </w:pPr>
            <w:r>
              <w:t xml:space="preserve">DIAGNOSMF</w:t>
            </w:r>
          </w:p>
        </w:tc>
        <w:tc>
          <w:tcPr/>
          <w:p>
            <w:pPr>
              <w:pStyle w:val="Compact"/>
            </w:pPr>
            <w:r>
              <w:t xml:space="preserve">MfnFrom, MfnTo,[0|1],[0|1],[0|1],[0|1],[0|1]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 Параметры с четвертого по седьмой имеют смысл, если третий параметр принимает значение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словаря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Установка режима игнорирования ошибок (см. Примеч.)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Пакетное задание продолжает выполняться при ошибочном завершении очередной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Выполнить глобальную корректировку</w:t>
            </w:r>
          </w:p>
        </w:tc>
        <w:tc>
          <w:tcPr/>
          <w:p>
            <w:pPr>
              <w:pStyle w:val="Compact"/>
            </w:pPr>
            <w:r>
              <w:t xml:space="preserve">GLOBAL</w:t>
            </w:r>
          </w:p>
        </w:tc>
        <w:tc>
          <w:tcPr/>
          <w:p>
            <w:pPr>
              <w:pStyle w:val="Compact"/>
            </w:pPr>
            <w:r>
              <w:t xml:space="preserve">Gblname,mfnfrom,mfnto,[0|1],[0|1],[0|1],Filename,query</w:t>
            </w:r>
          </w:p>
        </w:tc>
        <w:tc>
          <w:tcPr/>
          <w:p>
            <w:pPr>
              <w:pStyle w:val="Compact"/>
            </w:pPr>
            <w:r>
              <w:t xml:space="preserve">GLOBAL C:\irbiswrk\test.gbl,,,0,0,0,C:\irbiswrk\111.txt,”K=автомат</w:t>
            </w:r>
            <w:r>
              <w:t xml:space="preserve">$”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25  | Установить интервал опроса состояния БД (в сек.)                                         | AUTOASK         | NN Интервал в секундах. Если задается 0 – опрос состояния БД не выполняется.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AUTOASK 0                                                                                 | параметр в INI-файл (irbisa.ini) AUTOASKINTERVAL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26  | Установить монопольную блокировку БД                                                     | LOCKDB          | нет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LOCKDB                                                                                    | В Администраторе-клиент команда не поддерживается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27  | Завершить работу АРМа «Администратор»                                                    | Exit            | FileName , где: FileName – путь и имя файла, куда выводится протокол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Exit c:\\irbiswrk\\protocol.txt                                         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28  | Выполнить поиск                                                                          | SEARCH          | SEXP_DIR, MFNFrom, MFNTО,SEXP_SEQ,JUMP&lt;ul&gt;&lt;li&gt;SEXP_DIR – поисковое выражение для прямого поиска на языке запросов ИРБИС (может быть пустым)&lt;li&gt;MFNFrom – начальное значение диапазона MFN для последовательного поиска (по умолчанию – 1)&lt;li&gt;MFNTo – конечное значение диапазона MFN для последовательного поиска (по умолчанию – максимальный MFN БД)&lt;li&gt;SEXP_SEQ – поисковое выражение для уточняющего последовательного поиска(может быть пустым)&lt;li&gt;JUMP – количество последующих пакетных команд, которые должны быть пропущены в случае нулевого результата поиска (по умолчанию – 0)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SEARCH “K=противопожарн$</w:t>
            </w:r>
            <w:r>
              <w:t xml:space="preserve">” * “K=оборудован$”,,,p(v10),2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 Команда устанавливает контекст работы: РЕЗУЛЬТАТ ПОИСКА, т.е для последующих команд – таких как EXPORTDB, COPYDB, GLOBAL, PRINT, STAT,STATF – в качестве исходных документов будет использоваться результат поиска. Для того чтобы переключить контекст работы на БД ЦЕЛИКОМ, необходимо задать команду OPENDB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Вывести документы на печать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PRINT</w:t>
            </w:r>
          </w:p>
        </w:tc>
        <w:tc>
          <w:tcPr/>
          <w:p>
            <w:pPr>
              <w:pStyle w:val="Compact"/>
            </w:pPr>
            <w:r>
              <w:t xml:space="preserve">[0|1],FormName,mfnfrom,mfnto,header1/header2/header3,modefield,[0|1/FileName|2/E-mail/Subject]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PRINT 1,TABIUW,,,Заголовок 1/Заголовок 2/Заголовок 3,</w:t>
            </w:r>
            <w:r>
              <w:rPr>
                <w:vertAlign w:val="superscript"/>
              </w:rPr>
              <w:t xml:space="preserve">A2000/101</w:t>
            </w:r>
            <w:r>
              <w:t xml:space="preserve">BАБ,2/alio@gpntb.ru/Отчет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Выполнить задание на статистику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</w:t>
            </w:r>
          </w:p>
        </w:tc>
        <w:tc>
          <w:tcPr/>
          <w:p>
            <w:pPr>
              <w:pStyle w:val="Compact"/>
            </w:pPr>
            <w:r>
              <w:t xml:space="preserve">StatList,mfnfrom,mfnto,[0|1/FileName|2/E-mail/Subject]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 900^C|”(v102/)”/3/200/2,,,1/c:\irbiswrk\stat.txt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Создать выходную статистическую форму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STATF</w:t>
            </w:r>
          </w:p>
        </w:tc>
        <w:tc>
          <w:tcPr/>
          <w:p>
            <w:pPr>
              <w:pStyle w:val="Compact"/>
            </w:pPr>
            <w:r>
              <w:t xml:space="preserve">StatForm,modefield,mfnfrom,mfnto,[0|1/FileName|2/E-mail/Subject]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STATF Form3,</w:t>
            </w:r>
            <w:r>
              <w:rPr>
                <w:vertAlign w:val="superscript"/>
              </w:rPr>
              <w:t xml:space="preserve">A20120101</w:t>
            </w:r>
            <w:r>
              <w:t xml:space="preserve">B20131231,,,0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</w:tbl>
    <w:p>
      <w:pPr>
        <w:pStyle w:val="BodyText"/>
      </w:pPr>
      <w:r>
        <w:t xml:space="preserve">Следует отметить, что предлагаемый список пакетных команд для АРМа Администратор-клиент (с учетом таких команд, как SEARCH – поиск, PRINT – печать, STAT – статистика, STATF - стат.формы) превращает его по функциональности в ПАКЕТНЫЙ АРМ Каталогизатор.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Меню СЕРВИС</dc:title>
  <dc:creator/>
  <cp:keywords/>
  <dcterms:created xsi:type="dcterms:W3CDTF">2026-08-28T23:03:22Z</dcterms:created>
  <dcterms:modified xsi:type="dcterms:W3CDTF">2026-08-28T23:03:22Z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