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[I128-2179] Публичный доступ к провайдеру и кэшу открытых баз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930a1a8c85f882e29aad09208a583fb510367f"/>
    <w:p>
      <w:pPr>
        <w:pStyle w:val="Heading1"/>
      </w:pPr>
      <w:r>
        <w:t xml:space="preserve">[I128-2179] Публичный доступ к провайдеру и кэшу открытых баз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i128f/Providers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Доступ к провайдеру и кэшу открытых баз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технической Help-документации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уточнен контракт доступа к корневому провайдеру и кэшу открытых баз после приватизации</w:t>
      </w:r>
      <w:r>
        <w:t xml:space="preserve"> </w:t>
      </w: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.</w:t>
      </w:r>
    </w:p>
    <w:p>
      <w:pPr>
        <w:pStyle w:val="BodyText"/>
      </w:pPr>
      <w:r>
        <w:t xml:space="preserve">Раздел поясняет, что эти свойства являются внутренним состоянием модуля, а внешний код должен обращаться через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 Также указано, что прямое изменение внутреннего состояния может нарушить повторное использование объектов баз,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9"/>
    <w:p>
      <w:pPr>
        <w:pStyle w:val="Heading3"/>
      </w:pPr>
      <w:r>
        <w:t xml:space="preserve">1.1. 🔗 Соответствует задача: I128-2169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[I128-2179] Публичный доступ к провайдеру и кэшу открытых баз модуля i128f</dc:title>
  <dc:creator/>
  <cp:keywords/>
  <dcterms:created xsi:type="dcterms:W3CDTF">2026-08-27T18:03:18Z</dcterms:created>
  <dcterms:modified xsi:type="dcterms:W3CDTF">2026-08-27T18:03:18Z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