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[I128-1401] Импорт полных текстов из поля 955^A в электронную библиотеку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9982697e0556b9ad3befc0aaea14c8d0ec1e5a"/>
    <w:p>
      <w:pPr>
        <w:pStyle w:val="Heading1"/>
      </w:pPr>
      <w:r>
        <w:t xml:space="preserve">[I128-1401] Импорт полных текстов из поля 955^A в электронную библиотеку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FT/UserGuide/Import</w:t>
      </w:r>
      <w:r>
        <w:t xml:space="preserve"> </w:t>
      </w:r>
      <w:r>
        <w:t xml:space="preserve">- добавлено описание мастера импорта полных текстов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FT/AdminGuide/DataImport</w:t>
      </w:r>
      <w:r>
        <w:t xml:space="preserve"> </w:t>
      </w:r>
      <w:r>
        <w:t xml:space="preserve">- уточнено назначение настройки импорта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 условия запуска.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массового импорта полных текстов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в электронную библиотеку. В документации описаны подготовка библиографических записей, поля мастера, результат создания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добавление ссылки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 фоновая обработка документа и действия при ошибке чтения файла.</w:t>
      </w:r>
    </w:p>
    <w:p>
      <w:pPr>
        <w:pStyle w:val="BodyText"/>
      </w:pPr>
      <w:r>
        <w:t xml:space="preserve">В раздел вставлен скриншот формы мастера импорта.</w:t>
      </w:r>
    </w:p>
    <w:p>
      <w:pPr>
        <w:pStyle w:val="BodyText"/>
      </w:pPr>
      <w:r>
        <w:t xml:space="preserve">PR: https://bitbucket.irbis128.ru/projects/I128/repos/irbis128/pull-requests/1146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70"/>
    <w:p>
      <w:pPr>
        <w:pStyle w:val="Heading3"/>
      </w:pPr>
      <w:r>
        <w:t xml:space="preserve">1.1. 🔗 Соответствует задача: I128-1370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[I128-1370]</w:t>
        </w:r>
      </w:hyperlink>
      <w:r>
        <w:t xml:space="preserve"> </w:t>
      </w:r>
      <w:r>
        <w:t xml:space="preserve">Импорт в ЭБ 128 полных текстов из 955 поля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[I128-1401] Импорт полных текстов из поля 955^A в электронную библиотеку</dc:title>
  <dc:creator/>
  <cp:keywords/>
  <dcterms:created xsi:type="dcterms:W3CDTF">2026-08-27T06:48:04Z</dcterms:created>
  <dcterms:modified xsi:type="dcterms:W3CDTF">2026-08-27T06:48:04Z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