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основные-настройки"/>
    <w:p>
      <w:pPr>
        <w:pStyle w:val="Heading1"/>
      </w:pPr>
      <w:r>
        <w:t xml:space="preserve">Основные настройки</w:t>
      </w:r>
    </w:p>
    <w:p>
      <w:pPr>
        <w:pStyle w:val="FirstParagraph"/>
      </w:pPr>
      <w:r>
        <w:t xml:space="preserve">В этом разделе описаны общие параметры конфигурации модуля «Электронная библиотека» (FT), не относящиеся к конкретным типам файлов.</w:t>
      </w:r>
    </w:p>
    <w:bookmarkStart w:id="9" w:name="Xa47ffa47f473c9e980e4ad2bdbd86e22672e512"/>
    <w:p>
      <w:pPr>
        <w:pStyle w:val="Heading2"/>
      </w:pPr>
      <w:r>
        <w:t xml:space="preserve">1. Префикс имени файла с полнотекстовым индексом (</w:t>
      </w:r>
      <w:r>
        <w:rPr>
          <w:rStyle w:val="VerbatimChar"/>
        </w:rPr>
        <w:t xml:space="preserve">idxprefix</w:t>
      </w:r>
      <w:r>
        <w:t xml:space="preserve">)</w:t>
      </w:r>
    </w:p>
    <w:p>
      <w:pPr>
        <w:pStyle w:val="FirstParagraph"/>
      </w:pPr>
      <w:r>
        <w:t xml:space="preserve">Префикс, который будет использоваться для файлов с полнотекстовым индексом (по умолчанию</w:t>
      </w:r>
      <w:r>
        <w:t xml:space="preserve"> </w:t>
      </w:r>
      <w:r>
        <w:rPr>
          <w:rStyle w:val="VerbatimChar"/>
        </w:rPr>
        <w:t xml:space="preserve">idx</w:t>
      </w:r>
      <w:r>
        <w:t xml:space="preserve">).</w:t>
      </w:r>
      <w:r>
        <w:t xml:space="preserve"> </w:t>
      </w:r>
      <w:r>
        <w:t xml:space="preserve">При указании папки необходимо самостоятельно создать соответствующую директорию на сервере ИРБИС 64.</w:t>
      </w:r>
    </w:p>
    <w:bookmarkEnd w:id="9"/>
    <w:bookmarkStart w:id="10" w:name="X67f489e3c3eccbaf659ac79bebaf345246b151f"/>
    <w:p>
      <w:pPr>
        <w:pStyle w:val="Heading2"/>
      </w:pPr>
      <w:r>
        <w:t xml:space="preserve">2. Запрещенные к загрузке типы файлов (</w:t>
      </w:r>
      <w:r>
        <w:rPr>
          <w:rStyle w:val="VerbatimChar"/>
        </w:rPr>
        <w:t xml:space="preserve">deniedexts</w:t>
      </w:r>
      <w:r>
        <w:t xml:space="preserve">)</w:t>
      </w:r>
    </w:p>
    <w:p>
      <w:pPr>
        <w:pStyle w:val="FirstParagraph"/>
      </w:pPr>
      <w:r>
        <w:t xml:space="preserve">Позволяет задать список расширений файлов, загрузка которых будет заблокирована.</w:t>
      </w:r>
    </w:p>
    <w:bookmarkEnd w:id="10"/>
    <w:bookmarkStart w:id="11" w:name="ограничения-на-размер-загружаемых-файлов"/>
    <w:p>
      <w:pPr>
        <w:pStyle w:val="Heading2"/>
      </w:pPr>
      <w:r>
        <w:t xml:space="preserve">3. Ограничения на размер загружаемых файлов</w:t>
      </w:r>
    </w:p>
    <w:p>
      <w:pPr>
        <w:pStyle w:val="FirstParagraph"/>
      </w:pPr>
      <w:r>
        <w:t xml:space="preserve">Максимальный размер загружаемых полнотекстовых документов не регулируется настройками самого модуля. Он зависит от глобальных настроек интерпретатора PHP. Для увеличения лимитов необходимо изменить параметры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 </w:t>
      </w:r>
      <w:r>
        <w:t xml:space="preserve">в конфигурационном файле</w:t>
      </w:r>
      <w:r>
        <w:t xml:space="preserve"> </w:t>
      </w:r>
      <w:r>
        <w:rPr>
          <w:rStyle w:val="VerbatimChar"/>
        </w:rPr>
        <w:t xml:space="preserve">php.ini</w:t>
      </w:r>
      <w:r>
        <w:t xml:space="preserve"> </w:t>
      </w:r>
      <w:r>
        <w:t xml:space="preserve">вашего веб-сервера.</w:t>
      </w:r>
    </w:p>
    <w:bookmarkEnd w:id="11"/>
    <w:bookmarkStart w:id="12" w:name="автоматическая-обработка-метаданных"/>
    <w:p>
      <w:pPr>
        <w:pStyle w:val="Heading2"/>
      </w:pPr>
      <w:r>
        <w:t xml:space="preserve">4. Автоматическая обработка метаданных</w:t>
      </w:r>
    </w:p>
    <w:p>
      <w:pPr>
        <w:pStyle w:val="FirstParagraph"/>
      </w:pPr>
      <w:r>
        <w:t xml:space="preserve">Для удобства каталогизаторов модуль автоматически выполняет нормализацию данных при сохранении записи: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Ключевые слова</w:t>
      </w:r>
      <w:r>
        <w:t xml:space="preserve">: Если в поле «Ключевые слова» (поле 6) ввести несколько терминов через запятую, система автоматически разобьет их на отдельные повторения поля.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Определение формата файла</w:t>
      </w:r>
      <w:r>
        <w:t xml:space="preserve">: При загрузке документов система игнорирует заявленное расширение файла и выполняет глубокий анализ его бинарной сигнатуры (Magic Bytes), внутренней структуры ZIP-архивов (для офисных форматов) и метаданных медиафайлов. Это позволяет автоматически и безошибочно определять истинный тип документа (PDF, DOCX, XLSX, PPTX, JPG, WEBP, MP3 и др.), даже если файл был переименован с ошибкой.</w:t>
      </w:r>
    </w:p>
    <w:bookmarkEnd w:id="12"/>
    <w:bookmarkStart w:id="13" w:name="X3b7b41e3bc2bb7e3af7632d409bb9d44ab78515"/>
    <w:p>
      <w:pPr>
        <w:pStyle w:val="Heading2"/>
      </w:pPr>
      <w:r>
        <w:t xml:space="preserve">5. Индивидуальные действия и свойства документа</w:t>
      </w:r>
    </w:p>
    <w:p>
      <w:pPr>
        <w:pStyle w:val="FirstParagraph"/>
      </w:pPr>
      <w:r>
        <w:t xml:space="preserve">В карточке редактирования отдельного документа (при ручной корректировке) каталогизаторам доступны дополнительные поля, такие как</w:t>
      </w:r>
      <w:r>
        <w:t xml:space="preserve"> </w:t>
      </w:r>
      <w:r>
        <w:rPr>
          <w:b/>
          <w:bCs/>
        </w:rPr>
        <w:t xml:space="preserve">«Текст для ссылки»</w:t>
      </w:r>
      <w:r>
        <w:t xml:space="preserve"> </w:t>
      </w:r>
      <w:r>
        <w:t xml:space="preserve">(текст, отображаемый вместо классического URL) и</w:t>
      </w:r>
      <w:r>
        <w:t xml:space="preserve"> </w:t>
      </w:r>
      <w:r>
        <w:rPr>
          <w:b/>
          <w:bCs/>
        </w:rPr>
        <w:t xml:space="preserve">«Характер документа»</w:t>
      </w:r>
      <w:r>
        <w:t xml:space="preserve"> </w:t>
      </w:r>
      <w:r>
        <w:t xml:space="preserve">(возможность классификации: текстовый, графический, аудио и др.).</w:t>
      </w:r>
    </w:p>
    <w:p>
      <w:pPr>
        <w:pStyle w:val="BodyText"/>
      </w:pPr>
      <w:r>
        <w:t xml:space="preserve">Кроме того, в блоке</w:t>
      </w:r>
      <w:r>
        <w:t xml:space="preserve"> </w:t>
      </w:r>
      <w:r>
        <w:rPr>
          <w:b/>
          <w:bCs/>
        </w:rPr>
        <w:t xml:space="preserve">«Действия с документом»</w:t>
      </w:r>
      <w:r>
        <w:t xml:space="preserve"> </w:t>
      </w:r>
      <w:r>
        <w:t xml:space="preserve">предусмотрены специальные кнопки для ручного запуска фоновых задач по конкретной записи: вы можете принудительно запустить индексирование документа, пересоздать страницы для просмотра, обновить ссылки на полный текст в библиографической записи ИРБИС и инициировать процесс транскрибации для медиафайлов.</w:t>
      </w:r>
    </w:p>
    <w:bookmarkEnd w:id="13"/>
    <w:bookmarkStart w:id="14" w:name="пользовательские-функции"/>
    <w:p>
      <w:pPr>
        <w:pStyle w:val="Heading2"/>
      </w:pPr>
      <w:r>
        <w:t xml:space="preserve">6. Пользовательские функции</w:t>
      </w:r>
    </w:p>
    <w:p>
      <w:pPr>
        <w:pStyle w:val="FirstParagraph"/>
      </w:pPr>
      <w:r>
        <w:t xml:space="preserve">Позволяет расширить стандартное поведение модуля за счет подключения пользовательских скриптов.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поля для хранения (</w:t>
      </w:r>
      <w:r>
        <w:rPr>
          <w:rStyle w:val="VerbatimChar"/>
          <w:b/>
          <w:bCs/>
        </w:rPr>
        <w:t xml:space="preserve">usrFuncFieldsModule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usrFuncFieldsFunc</w:t>
      </w:r>
      <w:r>
        <w:rPr>
          <w:b/>
          <w:bCs/>
        </w:rPr>
        <w:t xml:space="preserve">)</w:t>
      </w:r>
      <w:r>
        <w:t xml:space="preserve">: PHP-функция для модификации списка полей редактора. Функция должна иметь вид</w:t>
      </w:r>
      <w:r>
        <w:t xml:space="preserve"> </w:t>
      </w:r>
      <w:r>
        <w:rPr>
          <w:rStyle w:val="VerbatimChar"/>
        </w:rPr>
        <w:t xml:space="preserve">array funcname(array $varlist)</w:t>
      </w:r>
      <w:r>
        <w:t xml:space="preserve">. В качестве параметра она принимает текущий список полей редактора и должна вернуть модифицированный список.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Дополнительные действия ПОСЛЕ сохранения документа (</w:t>
      </w:r>
      <w:r>
        <w:rPr>
          <w:rStyle w:val="VerbatimChar"/>
          <w:b/>
          <w:bCs/>
        </w:rPr>
        <w:t xml:space="preserve">usrFuncOnAfterSaveModule</w:t>
      </w:r>
      <w:r>
        <w:rPr>
          <w:b/>
          <w:bCs/>
        </w:rPr>
        <w:t xml:space="preserve"> </w:t>
      </w:r>
      <w:r>
        <w:rPr>
          <w:b/>
          <w:bCs/>
        </w:rPr>
        <w:t xml:space="preserve">/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usrFuncOnAfterSaveFunc</w:t>
      </w:r>
      <w:r>
        <w:rPr>
          <w:b/>
          <w:bCs/>
        </w:rPr>
        <w:t xml:space="preserve">)</w:t>
      </w:r>
      <w:r>
        <w:t xml:space="preserve">: PHP-функция, вызываемая сразу после успешного сохранения записи. Функция должна иметь вид</w:t>
      </w:r>
      <w:r>
        <w:t xml:space="preserve"> </w:t>
      </w:r>
      <w:r>
        <w:rPr>
          <w:rStyle w:val="VerbatimChar"/>
        </w:rPr>
        <w:t xml:space="preserve">funcname($db, $r)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$db</w:t>
      </w:r>
      <w:r>
        <w:t xml:space="preserve"> </w:t>
      </w:r>
      <w:r>
        <w:t xml:space="preserve">— объект базы данных, в которую произошло сохранение, а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— сохраняемая запись (объект полного текста).</w:t>
      </w:r>
    </w:p>
    <w:bookmarkEnd w:id="14"/>
    <w:bookmarkStart w:id="15" w:name="групповые-права-доступа-ftcollections"/>
    <w:p>
      <w:pPr>
        <w:pStyle w:val="Heading2"/>
      </w:pPr>
      <w:r>
        <w:t xml:space="preserve">7. Групповые права доступа (</w:t>
      </w:r>
      <w:r>
        <w:rPr>
          <w:rStyle w:val="VerbatimChar"/>
        </w:rPr>
        <w:t xml:space="preserve">FTCollections</w:t>
      </w:r>
      <w:r>
        <w:t xml:space="preserve">)</w:t>
      </w:r>
    </w:p>
    <w:p>
      <w:pPr>
        <w:pStyle w:val="FirstParagraph"/>
      </w:pPr>
      <w:r>
        <w:t xml:space="preserve">Связь с записями папок (коллекций) для организации иерархических или групповых прав доступа на просмотр и управление контентом электронной библиотеки.</w:t>
      </w:r>
    </w:p>
    <w:p>
      <w:pPr>
        <w:pStyle w:val="BodyText"/>
      </w:pPr>
      <w:r>
        <w:t xml:space="preserve">В панели администрирования (в списке записей ЭБ) доступен удобный инструмент пакетного назначения прав: выделите несколько нужных документов галочками и нажмите кнопку</w:t>
      </w:r>
      <w:r>
        <w:t xml:space="preserve"> </w:t>
      </w:r>
      <w:r>
        <w:rPr>
          <w:b/>
          <w:bCs/>
        </w:rPr>
        <w:t xml:space="preserve">«Установить группу прав»</w:t>
      </w:r>
      <w:r>
        <w:t xml:space="preserve"> </w:t>
      </w:r>
      <w:r>
        <w:t xml:space="preserve">на верхней панели инструментов. В этом же окне можно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чтобы при переносе документов на групповое право удалить локальные правила доступа и оставить только наследуемые права.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Обратите внимание:</w:t>
      </w:r>
      <w:r>
        <w:t xml:space="preserve"> </w:t>
      </w:r>
      <w:r>
        <w:t xml:space="preserve">При первоначальной установке или обновлении конфигурации модуля система автоматически выдает полные глобальные права доступа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 </w:t>
      </w:r>
      <w:r>
        <w:t xml:space="preserve">(Каталогизатор).</w:t>
      </w:r>
      <w:r>
        <w:t xml:space="preserve"> </w:t>
      </w:r>
      <w:r>
        <w:t xml:space="preserve">@@@</w:t>
      </w:r>
    </w:p>
    <w:bookmarkEnd w:id="15"/>
    <w:bookmarkStart w:id="17" w:name="специфичные-права-доступа"/>
    <w:p>
      <w:pPr>
        <w:pStyle w:val="Heading2"/>
      </w:pPr>
      <w:r>
        <w:t xml:space="preserve">8. Специфичные права доступа</w:t>
      </w:r>
    </w:p>
    <w:p>
      <w:pPr>
        <w:pStyle w:val="FirstParagraph"/>
      </w:pPr>
      <w:r>
        <w:t xml:space="preserve">В подсистеме безопасности (в профиле группы или конкретного пользователя) для модуля</w:t>
      </w:r>
      <w:r>
        <w:t xml:space="preserve"> </w:t>
      </w:r>
      <w:r>
        <w:t xml:space="preserve">“Электронная библиотека”</w:t>
      </w:r>
      <w:r>
        <w:t xml:space="preserve"> </w:t>
      </w:r>
      <w:r>
        <w:t xml:space="preserve">можно настроить специфичные права доступа к документам: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исходного файла (</w:t>
      </w:r>
      <w:r>
        <w:rPr>
          <w:rStyle w:val="VerbatimChar"/>
          <w:b/>
          <w:bCs/>
        </w:rPr>
        <w:t xml:space="preserve">ALLOWSOURCEDOWNLOAD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скачать оригинальный (исходный) файл документа, а не только просматривать его через вьювер.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Разрешено скачивание процента страниц файла (</w:t>
      </w:r>
      <w:r>
        <w:rPr>
          <w:rStyle w:val="VerbatimChar"/>
          <w:b/>
          <w:bCs/>
        </w:rPr>
        <w:t xml:space="preserve">ALLOWPERCENTDOWNLOAD</w:t>
      </w:r>
      <w:r>
        <w:rPr>
          <w:b/>
          <w:bCs/>
        </w:rPr>
        <w:t xml:space="preserve">)</w:t>
      </w:r>
      <w:r>
        <w:t xml:space="preserve"> </w:t>
      </w:r>
      <w:r>
        <w:t xml:space="preserve">— дает пользователю право скачивать или распечатывать определенный процент от общего числа страниц (применимо для многостраничных документов).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Право администрирования документа (</w:t>
      </w:r>
      <w:r>
        <w:rPr>
          <w:rStyle w:val="VerbatimChar"/>
          <w:b/>
          <w:bCs/>
        </w:rPr>
        <w:t xml:space="preserve">ADMIN</w:t>
      </w:r>
      <w:r>
        <w:rPr>
          <w:b/>
          <w:bCs/>
        </w:rPr>
        <w:t xml:space="preserve">)</w:t>
      </w:r>
      <w:r>
        <w:t xml:space="preserve"> </w:t>
      </w:r>
      <w:r>
        <w:t xml:space="preserve">— помимо общих прав на редактирование записи, позволяет пользователю переназначать логические номера страниц прямо в интерфейсе современного просмотрщика (Vanila).</w:t>
      </w:r>
    </w:p>
    <w:bookmarkStart w:id="16" w:name="информация-об-авторских-правах"/>
    <w:p>
      <w:pPr>
        <w:pStyle w:val="Heading3"/>
      </w:pPr>
      <w:r>
        <w:t xml:space="preserve">8.1. Информация об авторских правах</w:t>
      </w:r>
    </w:p>
    <w:p>
      <w:pPr>
        <w:pStyle w:val="FirstParagraph"/>
      </w:pPr>
      <w:r>
        <w:t xml:space="preserve">Лимиты для прав доступа задаются администратором индивидуально для каждого документа в его метаданных. При редактировании записи полного текста раскройте блок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 В нем доступны следующие поля: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Файл авторского договора</w:t>
      </w:r>
      <w:r>
        <w:t xml:space="preserve"> </w:t>
      </w:r>
      <w:r>
        <w:t xml:space="preserve">— возможность прикрепить скан-копию соглашения.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Дата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 действия</w:t>
      </w:r>
      <w:r>
        <w:t xml:space="preserve"> </w:t>
      </w:r>
      <w:r>
        <w:t xml:space="preserve">— период легитимности прав на распространение.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Процент страниц, разрешенных для скачивания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Процент страниц, разрешенных для печати</w:t>
      </w:r>
      <w:r>
        <w:t xml:space="preserve"> </w:t>
      </w:r>
      <w:r>
        <w:t xml:space="preserve">— числовые лимиты. Если права группы разрешают частичное скачивание, система ограничит объем загрузки/печати указанным здесь процентом (по умолчанию 100%).</w:t>
      </w:r>
    </w:p>
    <w:bookmarkEnd w:id="16"/>
    <w:bookmarkEnd w:id="17"/>
    <w:bookmarkStart w:id="18" w:name="внутренняя-статистика-просмотров"/>
    <w:p>
      <w:pPr>
        <w:pStyle w:val="Heading2"/>
      </w:pPr>
      <w:r>
        <w:t xml:space="preserve">9. Внутренняя статистика просмотров</w:t>
      </w:r>
    </w:p>
    <w:p>
      <w:pPr>
        <w:pStyle w:val="FirstParagraph"/>
      </w:pPr>
      <w:r>
        <w:t xml:space="preserve">Независимо от интеграции с АРМ «Книговыдача» или другими модулями, Электронная библиотека ведет собственный лог обращений к документам. При каждом открытии полного текста система сохраняет запись в локальную базу статистики (</w:t>
      </w:r>
      <w:r>
        <w:rPr>
          <w:rStyle w:val="VerbatimChar"/>
        </w:rPr>
        <w:t xml:space="preserve">FTStat</w:t>
      </w:r>
      <w:r>
        <w:t xml:space="preserve">), фиксируя точное время, логин пользователя, IP-адрес и краткое библиографическое описание документа.</w:t>
      </w:r>
    </w:p>
    <w:bookmarkEnd w:id="18"/>
    <w:bookmarkStart w:id="19" w:name="фоновая-обработка-задач-очередь"/>
    <w:p>
      <w:pPr>
        <w:pStyle w:val="Heading2"/>
      </w:pPr>
      <w:r>
        <w:t xml:space="preserve">10. Фоновая обработка задач (Очередь)</w:t>
      </w:r>
    </w:p>
    <w:p>
      <w:pPr>
        <w:pStyle w:val="FirstParagraph"/>
      </w:pPr>
      <w:r>
        <w:t xml:space="preserve">Большинство ресурсоемких операций электронной библиотеки (конвертация видеофайлов через FFMPEG, нарезка многостраничных документов на изображения для просмотра, извлечение текстового слоя) выполняется асинхронно. Для их успешного старта и завершения в системе должен корректно функционировать демон модуля</w:t>
      </w:r>
      <w:r>
        <w:t xml:space="preserve"> </w:t>
      </w:r>
      <w:r>
        <w:rPr>
          <w:b/>
          <w:bCs/>
        </w:rPr>
        <w:t xml:space="preserve">«Очередь задач» (Queue)</w:t>
      </w:r>
      <w:r>
        <w:t xml:space="preserve">. Задачи конвертации могут занимать длительное время в фоне (тайм-аут на некоторые операции до 24 часов).</w:t>
      </w:r>
    </w:p>
    <w:bookmarkEnd w:id="19"/>
    <w:bookmarkStart w:id="20" w:name="интеграция-с-pandoc"/>
    <w:p>
      <w:pPr>
        <w:pStyle w:val="Heading2"/>
      </w:pPr>
      <w:r>
        <w:t xml:space="preserve">11. Интеграция с Pandoc</w:t>
      </w:r>
    </w:p>
    <w:p>
      <w:pPr>
        <w:pStyle w:val="FirstParagraph"/>
      </w:pPr>
      <w:r>
        <w:t xml:space="preserve">Модуль содержит встроенные механизмы конвертации текстов из форматов Markdown (включая расширенную версию GitHub Flavored Markdown — GFM) в формат DOCX. Для работы используется поставляемая вместе с системой утилита Pandoc.</w:t>
      </w:r>
    </w:p>
    <w:p>
      <w:pPr>
        <w:pStyle w:val="BodyText"/>
      </w:pPr>
      <w:r>
        <w:t xml:space="preserve">Интеграция состоит из нескольких уровней: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PandocConvert</w:t>
      </w:r>
      <w:r>
        <w:t xml:space="preserve"> </w:t>
      </w:r>
      <w:r>
        <w:t xml:space="preserve">— универсальный вызов Pandoc для преобразования файла из одного документного формата в другой. Действие принимает входной и выходной файлы, при необходимости явные форматы</w:t>
      </w:r>
      <w:r>
        <w:t xml:space="preserve"> </w:t>
      </w:r>
      <w:r>
        <w:rPr>
          <w:rStyle w:val="VerbatimChar"/>
        </w:rPr>
        <w:t xml:space="preserve">fromFormat</w:t>
      </w:r>
      <w:r>
        <w:t xml:space="preserve">/</w:t>
      </w:r>
      <w:r>
        <w:rPr>
          <w:rStyle w:val="VerbatimChar"/>
        </w:rPr>
        <w:t xml:space="preserve">toFormat</w:t>
      </w:r>
      <w:r>
        <w:t xml:space="preserve"> </w:t>
      </w:r>
      <w:r>
        <w:t xml:space="preserve">и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MarkdownToDocx</w:t>
      </w:r>
      <w:r>
        <w:t xml:space="preserve"> </w:t>
      </w:r>
      <w:r>
        <w:t xml:space="preserve">— специализированное действие для формирования DOCX из Markdown-текста. Оно создает временный Markdown-файл, передает его в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, применяет DOCX-шаблон и удаляет временные данные после завершения.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PandocOptions</w:t>
      </w:r>
      <w:r>
        <w:t xml:space="preserve"> </w:t>
      </w:r>
      <w:r>
        <w:t xml:space="preserve">— объект настройки аргументов Pandoc. Через него включаются режим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 оглавление, глубина оглавления,</w:t>
      </w:r>
      <w:r>
        <w:t xml:space="preserve"> </w:t>
      </w:r>
      <w:r>
        <w:rPr>
          <w:rStyle w:val="VerbatimChar"/>
        </w:rPr>
        <w:t xml:space="preserve">reference-doc</w:t>
      </w:r>
      <w:r>
        <w:t xml:space="preserve">,</w:t>
      </w:r>
      <w:r>
        <w:t xml:space="preserve"> </w:t>
      </w:r>
      <w:r>
        <w:rPr>
          <w:rStyle w:val="VerbatimChar"/>
        </w:rPr>
        <w:t xml:space="preserve">resource-path</w:t>
      </w:r>
      <w:r>
        <w:t xml:space="preserve"> </w:t>
      </w:r>
      <w:r>
        <w:t xml:space="preserve">и дополнительные аргументы.</w:t>
      </w:r>
    </w:p>
    <w:p>
      <w:pPr>
        <w:pStyle w:val="FirstParagraph"/>
      </w:pPr>
      <w:r>
        <w:t xml:space="preserve">Исполняемый файл Pandoc выбирается автоматически по платформе:</w:t>
      </w:r>
    </w:p>
    <w:p>
      <w:pPr>
        <w:pStyle w:val="Compact"/>
        <w:numPr>
          <w:ilvl w:val="0"/>
          <w:numId w:val="1006"/>
        </w:numPr>
      </w:pPr>
      <w:r>
        <w:t xml:space="preserve">Windows:</w:t>
      </w:r>
      <w:r>
        <w:t xml:space="preserve"> </w:t>
      </w:r>
      <w:r>
        <w:rPr>
          <w:rStyle w:val="VerbatimChar"/>
        </w:rPr>
        <w:t xml:space="preserve">modules/FT/bin/win64/pandoc/pandoc.exe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Linux:</w:t>
      </w:r>
      <w:r>
        <w:t xml:space="preserve"> </w:t>
      </w:r>
      <w:r>
        <w:rPr>
          <w:rStyle w:val="VerbatimChar"/>
        </w:rPr>
        <w:t xml:space="preserve">modules/FT/bin/nix64/pandoc/pandoc</w:t>
      </w:r>
      <w:r>
        <w:t xml:space="preserve">.</w:t>
      </w:r>
    </w:p>
    <w:p>
      <w:pPr>
        <w:pStyle w:val="FirstParagraph"/>
      </w:pPr>
      <w:r>
        <w:t xml:space="preserve">В этой же структуре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размещаются и другие поставляемые внешние утилиты модуля FT, включая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,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. Не переносите эти файлы вручную: код модуля рассчитывает их расположение относительно каталога</w:t>
      </w:r>
      <w:r>
        <w:t xml:space="preserve"> </w:t>
      </w:r>
      <w:r>
        <w:rPr>
          <w:rStyle w:val="VerbatimChar"/>
        </w:rPr>
        <w:t xml:space="preserve">modules/FT</w:t>
      </w:r>
      <w:r>
        <w:t xml:space="preserve">.</w:t>
      </w:r>
    </w:p>
    <w:p>
      <w:pPr>
        <w:pStyle w:val="BodyText"/>
      </w:pPr>
      <w:r>
        <w:t xml:space="preserve">Для DOCX-конвертации можно передать файл-образец оформления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. Если шаблон указан, Pandoc использует его стили заголовков, таблиц и основного текста. Для корректной вставки изображений нужно передать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— базовый каталог, относительно которого находятся файлы, упомянутые в Markdown.</w:t>
      </w:r>
    </w:p>
    <w:p>
      <w:pPr>
        <w:pStyle w:val="BodyText"/>
      </w:pPr>
      <w:r>
        <w:t xml:space="preserve">При ошибках модуль возвращает локализованные сообщения: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Исполняемый файл pandoc не найден в системе</w:t>
      </w:r>
      <w:r>
        <w:t xml:space="preserve"> </w:t>
      </w:r>
      <w:r>
        <w:t xml:space="preserve">— Pandoc отсутствует в ожидаемом пути или недоступен для выполнения;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Входной файл не найден</w:t>
      </w:r>
      <w:r>
        <w:t xml:space="preserve"> </w:t>
      </w:r>
      <w:r>
        <w:t xml:space="preserve">— исходный файл конвертации недоступен;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Ошибка конвертации файла</w:t>
      </w:r>
      <w:r>
        <w:t xml:space="preserve"> </w:t>
      </w:r>
      <w:r>
        <w:t xml:space="preserve">— Pandoc завершился с ненулевым кодом, подробности добавляются к сообщению исключения.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Для Linux-серверов:</w:t>
      </w:r>
      <w:r>
        <w:t xml:space="preserve"> </w:t>
      </w:r>
      <w:r>
        <w:t xml:space="preserve">Аналогично другим внешним утилитам, обязательно убедитесь, что бинарному файлу конвертера Pandoc выданы права на исполнение:</w:t>
      </w:r>
      <w:r>
        <w:t xml:space="preserve"> </w:t>
      </w:r>
      <w:r>
        <w:rPr>
          <w:rStyle w:val="VerbatimChar"/>
        </w:rPr>
        <w:t xml:space="preserve">chmod +x bin/nix64/pandoc/pandoc</w:t>
      </w:r>
      <w:r>
        <w:t xml:space="preserve">.</w:t>
      </w:r>
      <w:r>
        <w:t xml:space="preserve"> </w:t>
      </w:r>
      <w:r>
        <w:t xml:space="preserve">@@@</w:t>
      </w:r>
    </w:p>
    <w:bookmarkEnd w:id="20"/>
    <w:bookmarkStart w:id="21" w:name="дополнение-по-групповым-правам"/>
    <w:p>
      <w:pPr>
        <w:pStyle w:val="Heading2"/>
      </w:pPr>
      <w:r>
        <w:t xml:space="preserve">12. Дополнение по групповым правам</w:t>
      </w:r>
    </w:p>
    <w:p>
      <w:pPr>
        <w:pStyle w:val="FirstParagraph"/>
      </w:pPr>
      <w:r>
        <w:t xml:space="preserve">Для одной записи значение группового права можно указать в карточке документа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Подключенные записи используются как группы прав, которые затем выбираются в карточках полных текстов и в пакетном действии назначения прав.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</dc:title>
  <dc:creator/>
  <cp:keywords/>
  <dcterms:created xsi:type="dcterms:W3CDTF">2026-08-29T16:46:15Z</dcterms:created>
  <dcterms:modified xsi:type="dcterms:W3CDTF">2026-08-29T16:46:15Z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