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 заполнения отдельных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пецифика-заполнения-отдельных-полей"/>
    <w:p>
      <w:pPr>
        <w:pStyle w:val="Heading1"/>
      </w:pPr>
      <w:r>
        <w:t xml:space="preserve">Специфика заполнения отдельных полей</w:t>
      </w:r>
    </w:p>
    <w:p>
      <w:pPr>
        <w:pStyle w:val="FirstParagraph"/>
      </w:pPr>
      <w:r>
        <w:t xml:space="preserve">Этот раздел собирает рекомендации по полям, для которых недостаточно общих правил заполнения рабочего листа. Поля, не описанные здесь отдельно, заполняются по</w:t>
      </w:r>
      <w:r>
        <w:t xml:space="preserve"> </w:t>
      </w:r>
      <w:hyperlink r:id="rId9">
        <w:r>
          <w:rPr>
            <w:rStyle w:val="Hyperlink"/>
          </w:rPr>
          <w:t xml:space="preserve">общим правилам</w:t>
        </w:r>
      </w:hyperlink>
      <w:r>
        <w:t xml:space="preserve"> </w:t>
      </w:r>
      <w:r>
        <w:t xml:space="preserve">с использованием доступных меню, словарей, авторитетных баз и вложенных рабочих листов.</w:t>
      </w:r>
    </w:p>
    <w:p>
      <w:pPr>
        <w:pStyle w:val="BodyText"/>
      </w:pPr>
      <w:r>
        <w:t xml:space="preserve">Для полей со сложной структурой в исходной методике указывается состав подполей и справочники, которые используются при вводе. При переносе в Help такие сведения нужно сверять с текущими рабочими листами и поставкой базы данных.</w:t>
      </w:r>
    </w:p>
    <w:bookmarkStart w:id="10" w:name="справочники-и-коды"/>
    <w:p>
      <w:pPr>
        <w:pStyle w:val="Heading2"/>
      </w:pPr>
      <w:r>
        <w:t xml:space="preserve">1. Справочники и коды</w:t>
      </w:r>
    </w:p>
    <w:p>
      <w:pPr>
        <w:pStyle w:val="FirstParagraph"/>
      </w:pPr>
      <w:r>
        <w:t xml:space="preserve">Справочники могут корректироваться организацией. При расширении справочников нужно учитывать различие кодов:</w:t>
      </w:r>
    </w:p>
    <w:p>
      <w:pPr>
        <w:pStyle w:val="Compact"/>
        <w:numPr>
          <w:ilvl w:val="0"/>
          <w:numId w:val="1001"/>
        </w:numPr>
      </w:pPr>
      <w:r>
        <w:t xml:space="preserve">буквенные коды обычно соответствуют коммуникативным форматам UNIMARC, USMARC или RUSMARC;</w:t>
      </w:r>
    </w:p>
    <w:p>
      <w:pPr>
        <w:pStyle w:val="Compact"/>
        <w:numPr>
          <w:ilvl w:val="0"/>
          <w:numId w:val="1001"/>
        </w:numPr>
      </w:pPr>
      <w:r>
        <w:t xml:space="preserve">цифровые коды являются дополнительными кодами ИРБИС и при экспорте в MARC-форматы могут интерпретироваться как</w:t>
      </w:r>
      <w:r>
        <w:t xml:space="preserve"> </w:t>
      </w:r>
      <w:r>
        <w:t xml:space="preserve">“прочие”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буквенно-цифровые коды используются для детализации стандартного буквенного кода; при экспорте может использоваться только буквенная часть.</w:t>
      </w:r>
    </w:p>
    <w:p>
      <w:pPr>
        <w:pStyle w:val="FirstParagraph"/>
      </w:pPr>
      <w:r>
        <w:t xml:space="preserve">Технологические элементы данных, относящиеся только к регистрации поступления журналов, описываются в методике обработки журналов и не должны смешиваться с общими правилами заполнения библиографических полей.</w:t>
      </w:r>
    </w:p>
    <w:bookmarkEnd w:id="10"/>
    <w:bookmarkStart w:id="11" w:name="специфические-первые-страницы-рл"/>
    <w:p>
      <w:pPr>
        <w:pStyle w:val="Heading2"/>
      </w:pPr>
      <w:r>
        <w:t xml:space="preserve">2. Специфические первые страницы РЛ</w:t>
      </w:r>
    </w:p>
    <w:p>
      <w:pPr>
        <w:pStyle w:val="FirstParagraph"/>
      </w:pPr>
      <w:r>
        <w:t xml:space="preserve">Специфические первые страницы рабочих листов содержат элементы данных, которые зависят от вида описания и участвуют в сверке на дублетность.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 РЛ</w:t>
            </w:r>
          </w:p>
        </w:tc>
        <w:tc>
          <w:tcPr/>
          <w:p>
            <w:pPr>
              <w:pStyle w:val="Compact"/>
            </w:pPr>
            <w:r>
              <w:t xml:space="preserve">Специфическая страница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Заголовок библиографического описания и другие данные сверки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 - общ.</w:t>
            </w:r>
          </w:p>
        </w:tc>
        <w:tc>
          <w:tcPr/>
          <w:p>
            <w:pPr>
              <w:pStyle w:val="Compact"/>
            </w:pPr>
            <w:r>
              <w:t xml:space="preserve">Данные общей части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Рецензия/Реферат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источнике, данные сверки на дублетность и данные рецензии или реферата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 и данные сверки на дублетность для юридических и нормативно-технических документов</w:t>
            </w:r>
          </w:p>
        </w:tc>
      </w:tr>
    </w:tbl>
    <w:p>
      <w:pPr>
        <w:pStyle w:val="BodyText"/>
      </w:pPr>
      <w:r>
        <w:t xml:space="preserve">На первой странице также находится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- код рабочего листа. Код определяет вид описания и используется системой для выбора формата просмотра и рабочего листа при корректировке записи.</w:t>
      </w:r>
    </w:p>
    <w:p>
      <w:pPr>
        <w:pStyle w:val="BodyText"/>
      </w:pPr>
      <w:r>
        <w:t xml:space="preserve">Если рабочий лист выбран ошибочно, нужно:</w:t>
      </w:r>
    </w:p>
    <w:p>
      <w:pPr>
        <w:pStyle w:val="Compact"/>
        <w:numPr>
          <w:ilvl w:val="0"/>
          <w:numId w:val="1002"/>
        </w:numPr>
      </w:pPr>
      <w:r>
        <w:t xml:space="preserve">Выбрать правильный РЛ в списке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Откорректировать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на первой странице.</w:t>
      </w:r>
    </w:p>
    <w:p>
      <w:pPr>
        <w:pStyle w:val="Compact"/>
        <w:numPr>
          <w:ilvl w:val="0"/>
          <w:numId w:val="1002"/>
        </w:numPr>
      </w:pPr>
      <w:r>
        <w:t xml:space="preserve">Удалить данные, которые были введены ранее и не соответствуют новому РЛ.</w:t>
      </w:r>
    </w:p>
    <w:bookmarkEnd w:id="11"/>
    <w:bookmarkStart w:id="12" w:name="рл-pazk-страница-дублетность"/>
    <w:p>
      <w:pPr>
        <w:pStyle w:val="Heading2"/>
      </w:pPr>
      <w:r>
        <w:t xml:space="preserve">3. РЛ PAZK: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используется для описания под автором, под коллективом или под заглавием. 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располагаются поля, которые участвуют в сверке на дублетность, и поля, специфичные для этого вида описания.</w:t>
      </w:r>
    </w:p>
    <w:p>
      <w:pPr>
        <w:pStyle w:val="BodyText"/>
      </w:pPr>
      <w:r>
        <w:t xml:space="preserve">Сверка выполняется по совокупности кратких данных:</w:t>
      </w:r>
    </w:p>
    <w:p>
      <w:pPr>
        <w:pStyle w:val="Compact"/>
        <w:numPr>
          <w:ilvl w:val="0"/>
          <w:numId w:val="1003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3"/>
        </w:numPr>
      </w:pPr>
      <w:r>
        <w:t xml:space="preserve">первые символы фамилии автора-заголовка описания;</w:t>
      </w:r>
    </w:p>
    <w:p>
      <w:pPr>
        <w:pStyle w:val="Compact"/>
        <w:numPr>
          <w:ilvl w:val="0"/>
          <w:numId w:val="1003"/>
        </w:numPr>
      </w:pPr>
      <w:r>
        <w:t xml:space="preserve">автоматическая свёртка заглавия;</w:t>
      </w:r>
    </w:p>
    <w:p>
      <w:pPr>
        <w:pStyle w:val="Compact"/>
        <w:numPr>
          <w:ilvl w:val="0"/>
          <w:numId w:val="1003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3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700</w:t>
            </w:r>
          </w:p>
        </w:tc>
        <w:tc>
          <w:tcPr/>
          <w:p>
            <w:pPr>
              <w:pStyle w:val="Compact"/>
            </w:pPr>
            <w:r>
              <w:t xml:space="preserve">Первый автор - заголовок описания. Заполняется, если авторов не больше трёх. Для первичной сверки достаточно ФИО и раскрытия инициалов; остальные данные можно уточнить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коллективный автор. При вводе через словарь или авторитетную базу данные заполняются полностью. При ручном вводе для сверки достаточно наименования; остальные данные можно ввести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971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автор, если он входит в заголовок вместе с коллективом. Поле не участвует в сверке на дублетность, поэтому может уточняться после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наименования; остальные данные целесообразно вводить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года; остальные выходные данные вводятся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должны быть введены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документа; если единица измерения отличается от значения по умолчанию, её также нужно указать.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Данные коллективного автора могут автоматически включаться в сведения об ответственности. Если коллектив не должен попадать в сведения об ответственности или должен формировать добавочную каталожную карточку, это задаётся соответствующей ролью в поле.</w:t>
      </w:r>
    </w:p>
    <w:p>
      <w:pPr>
        <w:pStyle w:val="BodyText"/>
      </w:pPr>
      <w:r>
        <w:t xml:space="preserve">Коллективные авторы включаются в словарь коллективов, а слова из наименования - в словарь ключевых слов. Если заглавие подразделения должно индексироваться самостоятельно, нужно установить признак характерного заглавия подразделения.</w:t>
      </w:r>
    </w:p>
    <w:bookmarkEnd w:id="12"/>
    <w:bookmarkStart w:id="13" w:name="рл-pvk-страница-дублетность"/>
    <w:p>
      <w:pPr>
        <w:pStyle w:val="Heading2"/>
      </w:pPr>
      <w:r>
        <w:t xml:space="preserve">4. РЛ PVK: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используется для описания под временным коллективным автором: конференцией, симпозиумом, выставкой и другим временным коллективом.</w:t>
      </w:r>
    </w:p>
    <w:p>
      <w:pPr>
        <w:pStyle w:val="BodyText"/>
      </w:pPr>
      <w:r>
        <w:t xml:space="preserve">Сверка на дублетность выполняется по совокупности данных:</w:t>
      </w:r>
    </w:p>
    <w:p>
      <w:pPr>
        <w:pStyle w:val="Compact"/>
        <w:numPr>
          <w:ilvl w:val="0"/>
          <w:numId w:val="1004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4"/>
        </w:numPr>
      </w:pPr>
      <w:r>
        <w:t xml:space="preserve">свёртка наименования временного коллектива и заглавия;</w:t>
      </w:r>
    </w:p>
    <w:p>
      <w:pPr>
        <w:pStyle w:val="Compact"/>
        <w:numPr>
          <w:ilvl w:val="0"/>
          <w:numId w:val="1004"/>
        </w:numPr>
      </w:pPr>
      <w:r>
        <w:t xml:space="preserve">цифровая часть номеров томов, изданных в одной печатной единице;</w:t>
      </w:r>
    </w:p>
    <w:p>
      <w:pPr>
        <w:pStyle w:val="Compact"/>
        <w:numPr>
          <w:ilvl w:val="0"/>
          <w:numId w:val="1004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4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 - заголовок описания. При ручном вводе для сверки достаточно наименования; остальные сведения можно уточнить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вводятся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 и, при необходимости, единица измерения.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Для временного коллектива дата указывается как год. Города проведения и роли выбираются через меню; несколько городов могут вводиться за одно обращение к меню. Перед элементами данных разделительные знаки вручную не ставятся.</w:t>
      </w:r>
    </w:p>
    <w:p>
      <w:pPr>
        <w:pStyle w:val="BodyText"/>
      </w:pPr>
      <w:r>
        <w:t xml:space="preserve">Временный коллектив включается в словарь коллективов, а отдельные слова из наименования - в словарь ключевых слов. Сокращённое или полное наименование может автоматически попадать в сведения об ответственности; необходимость такого включения задаётся ролью.</w:t>
      </w:r>
    </w:p>
    <w:bookmarkEnd w:id="13"/>
    <w:bookmarkStart w:id="14" w:name="рл-spec-страница-мн---общие-данные"/>
    <w:p>
      <w:pPr>
        <w:pStyle w:val="Heading2"/>
      </w:pPr>
      <w:r>
        <w:t xml:space="preserve">5. РЛ SPEC: страница</w:t>
      </w:r>
      <w:r>
        <w:t xml:space="preserve"> </w:t>
      </w:r>
      <w:r>
        <w:rPr>
          <w:rStyle w:val="VerbatimChar"/>
        </w:rPr>
        <w:t xml:space="preserve">МН - общие данные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используется для сводного описания тома многотомного издания. В отличие от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, отдельная страница дублетности здесь не используется: сверка выполняется при вводе объёма конкретного тома на странице</w:t>
      </w:r>
      <w:r>
        <w:t xml:space="preserve"> </w:t>
      </w:r>
      <w:r>
        <w:rPr>
          <w:rStyle w:val="VerbatimChar"/>
        </w:rPr>
        <w:t xml:space="preserve">Основное БО</w:t>
      </w:r>
      <w:r>
        <w:t xml:space="preserve">.</w:t>
      </w:r>
    </w:p>
    <w:p>
      <w:pPr>
        <w:pStyle w:val="BodyText"/>
      </w:pPr>
      <w:r>
        <w:t xml:space="preserve">На первой странице</w:t>
      </w:r>
      <w:r>
        <w:t xml:space="preserve"> </w:t>
      </w:r>
      <w:r>
        <w:rPr>
          <w:rStyle w:val="VerbatimChar"/>
        </w:rPr>
        <w:t xml:space="preserve">МН - общие данные</w:t>
      </w:r>
      <w:r>
        <w:t xml:space="preserve"> </w:t>
      </w:r>
      <w:r>
        <w:t xml:space="preserve">располагаются данные общей части многотомного издания и поля, которые участвуют в последующей сверке.</w:t>
      </w:r>
    </w:p>
    <w:p>
      <w:pPr>
        <w:pStyle w:val="BodyText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961</w:t>
            </w:r>
          </w:p>
        </w:tc>
        <w:tc>
          <w:tcPr/>
          <w:p>
            <w:pPr>
              <w:pStyle w:val="Compact"/>
            </w:pPr>
            <w:r>
              <w:t xml:space="preserve">Авторы, редакторы и другие лица, относящиеся к многотомному изданию в целом. Если авторов не больше трёх, один из них может быть отмечен как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962</w:t>
            </w:r>
          </w:p>
        </w:tc>
        <w:tc>
          <w:tcPr/>
          <w:p>
            <w:pPr>
              <w:pStyle w:val="Compact"/>
            </w:pPr>
            <w:r>
              <w:t xml:space="preserve">Коллективные и временные коллективные авторы общей части. Поле используется для коллективов, относящихся ко всему многотомному изданию или к документу-источнику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461</w:t>
            </w:r>
          </w:p>
        </w:tc>
        <w:tc>
          <w:tcPr/>
          <w:p>
            <w:pPr>
              <w:pStyle w:val="Compact"/>
            </w:pPr>
            <w:r>
              <w:t xml:space="preserve">Основные данные общей части сводного описания тома: заглавие, сведения к заглавию, сведения об ответственности, выходные данные, размер, тираж, ISBN/ISSN, сведения об издании, перевод заглавия и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данные общей части: общее обозначение материала, разночтения заглавия, серия, параллельные заглавия, примечания, предыдущее издание и другие связанные сведения.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03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могут вводиться с использованием словаря базы электронного каталога и авторитетных баз. В режиме мультиввода можно перенести несколько имён или коллективов за одно обращение к словарю.</w:t>
      </w:r>
    </w:p>
    <w:p>
      <w:pPr>
        <w:pStyle w:val="BodyText"/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установлен признак заголовка описания, заголовок сводного описания тома может формироваться автоматически. Данные лиц и коллективов также могут автоматически включаться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является обязательным для сводного описания тома. Оно описывает общую часть многотомного издания, а данные конкретного тома затем уточняются на других страницах рабочего листа.</w:t>
      </w:r>
    </w:p>
    <w:p>
      <w:pPr>
        <w:pStyle w:val="BodyText"/>
      </w:pPr>
      <w:r>
        <w:t xml:space="preserve">Если сведения, относящиеся к заглавию, не заполнены вручную, система может сформировать их автоматически на основе кода характера документа и справочника соответствий. Если такая автоматизация не нужна, её нужно отключить в настройке или очистить соответствующий справочник.</w:t>
      </w:r>
    </w:p>
    <w:p>
      <w:pPr>
        <w:pStyle w:val="BodyText"/>
      </w:pPr>
      <w:r>
        <w:t xml:space="preserve">Если сведения об ответственности не заполнены, они могут формироваться из введённых авторов, редакторов, коллективов и временных коллективов. При формировании учитываются инверсия ФИО, язык основного текста, количество авторов и признак необходимости включать коллектив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может повторяться для нескольких издательств. При нескольких издательствах можно управлять выводом городов и признаком вывода только первого издательства с пометой</w:t>
      </w:r>
      <w:r>
        <w:t xml:space="preserve"> </w:t>
      </w:r>
      <w:r>
        <w:t xml:space="preserve">“и др.”</w:t>
      </w:r>
      <w:r>
        <w:t xml:space="preserve">. Каждое издательство желательно вводить полно, чтобы словарь издательств оставался пригодным для поиска и повторного ввода.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</w:t>
      </w:r>
      <w:r>
        <w:t xml:space="preserve"> </w:t>
      </w:r>
      <w:r>
        <w:t xml:space="preserve">используется для серий, параллельных заглавий, примечаний, предыдущих изданий и разночтений заглавия. Оно может повторяться, если нужно описать несколько связанных серий, несколько параллельных заглавий или несколько предыдущих изданий.</w:t>
      </w:r>
    </w:p>
    <w:bookmarkEnd w:id="14"/>
    <w:bookmarkStart w:id="15" w:name="Xdd415b45c5e0f9c3cc731f03284c7ec55bc6015"/>
    <w:p>
      <w:pPr>
        <w:pStyle w:val="Heading2"/>
      </w:pPr>
      <w:r>
        <w:t xml:space="preserve">6. РЛ ASP: страницы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Рецензия/Реферат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используется для аналитического описания статьи. Первая страница содержит данные, которые участвуют в сверке на дублетность, а также сведения об источнике статьи.</w:t>
      </w:r>
    </w:p>
    <w:p>
      <w:pPr>
        <w:pStyle w:val="BodyText"/>
      </w:pPr>
      <w:r>
        <w:t xml:space="preserve">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важны:</w:t>
      </w:r>
    </w:p>
    <w:p>
      <w:pPr>
        <w:pStyle w:val="Compact"/>
        <w:numPr>
          <w:ilvl w:val="0"/>
          <w:numId w:val="1005"/>
        </w:numPr>
      </w:pPr>
      <w:r>
        <w:t xml:space="preserve">автор или коллективный автор статьи;</w:t>
      </w:r>
    </w:p>
    <w:p>
      <w:pPr>
        <w:pStyle w:val="Compact"/>
        <w:numPr>
          <w:ilvl w:val="0"/>
          <w:numId w:val="1005"/>
        </w:numPr>
      </w:pPr>
      <w:r>
        <w:t xml:space="preserve">заглавие статьи;</w:t>
      </w:r>
    </w:p>
    <w:p>
      <w:pPr>
        <w:pStyle w:val="Compact"/>
        <w:numPr>
          <w:ilvl w:val="0"/>
          <w:numId w:val="1005"/>
        </w:numPr>
      </w:pPr>
      <w:r>
        <w:t xml:space="preserve">сведения об источнике, в котором опубликована статья;</w:t>
      </w:r>
    </w:p>
    <w:p>
      <w:pPr>
        <w:pStyle w:val="Compact"/>
        <w:numPr>
          <w:ilvl w:val="0"/>
          <w:numId w:val="1005"/>
        </w:numPr>
      </w:pPr>
      <w:r>
        <w:t xml:space="preserve">год издания;</w:t>
      </w:r>
    </w:p>
    <w:p>
      <w:pPr>
        <w:pStyle w:val="Compact"/>
        <w:numPr>
          <w:ilvl w:val="0"/>
          <w:numId w:val="1005"/>
        </w:numPr>
      </w:pPr>
      <w:r>
        <w:t xml:space="preserve">местоположение статьи в источнике;</w:t>
      </w:r>
    </w:p>
    <w:p>
      <w:pPr>
        <w:pStyle w:val="Compact"/>
        <w:numPr>
          <w:ilvl w:val="0"/>
          <w:numId w:val="1005"/>
        </w:numPr>
      </w:pPr>
      <w:r>
        <w:t xml:space="preserve">код рабочего листа</w:t>
      </w:r>
      <w:r>
        <w:t xml:space="preserve"> 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вид документа, который в исходной методике задан как статья из журнала.</w:t>
      </w:r>
    </w:p>
    <w:p>
      <w:pPr>
        <w:pStyle w:val="FirstParagraph"/>
      </w:pPr>
      <w:r>
        <w:t xml:space="preserve">Поле источника статьи содержит данные о заглавии источника, выходных данных, местоположении, номере статьи, иллюстрациях, обозначении тома или выпуска, частном заглавии и шифре документа в базе данных.</w:t>
      </w:r>
    </w:p>
    <w:p>
      <w:pPr>
        <w:pStyle w:val="BodyText"/>
      </w:pPr>
      <w:r>
        <w:t xml:space="preserve">В записях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поля экземпляров обычно не вводятся. Описание статьи связано с документом-источником, а доступ к экземплярам определяется через источник.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Рецензия/Реферат</w:t>
      </w:r>
      <w:r>
        <w:t xml:space="preserve"> </w:t>
      </w:r>
      <w:r>
        <w:t xml:space="preserve">используется, если аналитическое описание является рецензией или рефератом. В ней указываются признак рецензии или реферата, заглавие рецензируемого документа, автор, сведения к заглавию, выходные данные, ISBN, идентификатор нетекстового материала, вид документа, шифр и имя базы данных.</w:t>
      </w:r>
    </w:p>
    <w:bookmarkEnd w:id="15"/>
    <w:bookmarkStart w:id="16" w:name="рл-auntd-страница-дублетность"/>
    <w:p>
      <w:pPr>
        <w:pStyle w:val="Heading2"/>
      </w:pPr>
      <w:r>
        <w:t xml:space="preserve">7. РЛ AUNTD: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используется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По назначению первая страница близка к</w:t>
      </w:r>
      <w:r>
        <w:t xml:space="preserve"> </w:t>
      </w:r>
      <w:r>
        <w:rPr>
          <w:rStyle w:val="VerbatimChar"/>
        </w:rPr>
        <w:t xml:space="preserve">ASP</w:t>
      </w:r>
      <w:r>
        <w:t xml:space="preserve">: она содержит сведения об источнике и данные, необходимые для сверки на дублетность. Основное отличие состоит в составе специфических полей, ориентированных на юридический или нормативно-технический документ.</w:t>
      </w:r>
    </w:p>
    <w:p>
      <w:pPr>
        <w:pStyle w:val="BodyText"/>
      </w:pPr>
      <w:r>
        <w:t xml:space="preserve">При переносе подробных правил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нужно сверять текущий состав рабочего листа и справочников, потому что этот тип описания сильнее зависит от локальной методики организации и набора используемых нормативных документов.</w:t>
      </w:r>
    </w:p>
    <w:bookmarkEnd w:id="16"/>
    <w:bookmarkStart w:id="17" w:name="X8eb790bbbca797e60c33088516d4422afbf9071"/>
    <w:p>
      <w:pPr>
        <w:pStyle w:val="Heading2"/>
      </w:pPr>
      <w:r>
        <w:t xml:space="preserve">8. РЛ J: ввод и корректировка описаний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используются для сводного описания журнала, газеты или другого сериального издания. В сводное описание по мере работы добавляются сведения об отдельных выпусках; сведения о первом поступлении могут вводиться одновременно с библиографическим описанием.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включает восемь страниц: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Основное БО</w:t>
            </w:r>
          </w:p>
        </w:tc>
        <w:tc>
          <w:tcPr/>
          <w:p>
            <w:pPr>
              <w:pStyle w:val="Compact"/>
            </w:pPr>
            <w:r>
              <w:t xml:space="preserve">Заглавие, сведения об ответственности, выходные данные, серия, подсерия и раздел подсерии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Коды</w:t>
            </w:r>
          </w:p>
        </w:tc>
        <w:tc>
          <w:tcPr/>
          <w:p>
            <w:pPr>
              <w:pStyle w:val="Compact"/>
            </w:pPr>
            <w:r>
              <w:t xml:space="preserve">Кодированная информация, ISSN, шифр документа в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Расширенное. Изменения</w:t>
            </w:r>
          </w:p>
        </w:tc>
        <w:tc>
          <w:tcPr/>
          <w:p>
            <w:pPr>
              <w:pStyle w:val="Compact"/>
            </w:pPr>
            <w:r>
              <w:t xml:space="preserve">Коллективы, редактор, примечания, другие заглавия, связи с другими изданиями, сведения о предыдущих и последующих изданиях, внешние объекты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Физические характеристики</w:t>
            </w:r>
          </w:p>
        </w:tc>
        <w:tc>
          <w:tcPr/>
          <w:p>
            <w:pPr>
              <w:pStyle w:val="Compact"/>
            </w:pPr>
            <w:r>
              <w:t xml:space="preserve">Физические характеристики издания и отдельных номеров, сведения о приложениях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Систематизация</w:t>
            </w:r>
          </w:p>
        </w:tc>
        <w:tc>
          <w:tcPr/>
          <w:p>
            <w:pPr>
              <w:pStyle w:val="Compact"/>
            </w:pPr>
            <w:r>
              <w:t xml:space="preserve">Классификационные индексы, рубрики, ключевые слова, персоналии, аннотация, авторский знак и расстановочный шифр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t xml:space="preserve">Поступивший выпуск или подшивка: год, том, номер, дополнение, электронный ресурс, технологический путь, экземпляры, номера подшивки, оглавление выпуска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Кумуляция</w:t>
            </w:r>
          </w:p>
        </w:tc>
        <w:tc>
          <w:tcPr/>
          <w:p>
            <w:pPr>
              <w:pStyle w:val="Compact"/>
            </w:pPr>
            <w:r>
              <w:t xml:space="preserve">Автоматически формируемые кумулированные сведения о зарегистрированных поступлениях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 ввода, управляющие коды, архивные данные экземпляров, держатель документа, количество выдач и сведения о заказанных экземплярах</w:t>
            </w:r>
          </w:p>
        </w:tc>
      </w:tr>
    </w:tbl>
    <w:p>
      <w:pPr>
        <w:pStyle w:val="BodyText"/>
      </w:pPr>
      <w:r>
        <w:t xml:space="preserve">При регистрации поступлений или другой корректировке документов 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модификация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. Её отличие от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состоит в порядке страниц: первой открывается страница</w:t>
      </w:r>
      <w:r>
        <w:t xml:space="preserve"> </w:t>
      </w:r>
      <w:r>
        <w:rPr>
          <w:rStyle w:val="VerbatimChar"/>
        </w:rPr>
        <w:t xml:space="preserve">Регистрация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!RPJ51</w:t>
      </w:r>
      <w:r>
        <w:t xml:space="preserve"> </w:t>
      </w:r>
      <w:r>
        <w:t xml:space="preserve">не предназначен для ручного выбора при создании нового документа: он используется как технологический вариант корректировки существующего журнального описания.</w:t>
      </w:r>
    </w:p>
    <w:bookmarkEnd w:id="17"/>
    <w:bookmarkStart w:id="18" w:name="X8350356cc535ec1920bd18dd4bb7288e541ae4d"/>
    <w:p>
      <w:pPr>
        <w:pStyle w:val="Heading2"/>
      </w:pPr>
      <w:r>
        <w:t xml:space="preserve">9. РЛ NJ, NJK и NJP: номера и подшивки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используется для корректировки отдельного номера или выпуска журнала, который создаётся автоматически при регистрации поступления.</w:t>
      </w:r>
    </w:p>
    <w:p>
      <w:pPr>
        <w:pStyle w:val="BodyText"/>
      </w:pPr>
      <w:r>
        <w:t xml:space="preserve">Основная задача корректировки номера - ввод оглавления, если оно не было заполнено при регистрации.</w:t>
      </w:r>
    </w:p>
    <w:p>
      <w:pPr>
        <w:pStyle w:val="BodyText"/>
      </w:pPr>
      <w:r>
        <w:t xml:space="preserve">В РЛ номера используются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Регистрационные данные номера</w:t>
            </w:r>
          </w:p>
        </w:tc>
        <w:tc>
          <w:tcPr/>
          <w:p>
            <w:pPr>
              <w:pStyle w:val="Compact"/>
            </w:pPr>
            <w:r>
              <w:t xml:space="preserve">Шифры описания журнала и выпуска, год, том, номер, дополнение, сведения о кумулированных номерах, экземпляры и технологический 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Оглавление</w:t>
            </w:r>
          </w:p>
        </w:tc>
        <w:tc>
          <w:tcPr/>
          <w:p>
            <w:pPr>
              <w:pStyle w:val="Compact"/>
            </w:pPr>
            <w:r>
              <w:t xml:space="preserve">Сведения о статьях, опубликованных в номере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Приложения на вкладках</w:t>
            </w:r>
          </w:p>
        </w:tc>
        <w:tc>
          <w:tcPr/>
          <w:p>
            <w:pPr>
              <w:pStyle w:val="Compact"/>
            </w:pPr>
            <w:r>
              <w:t xml:space="preserve">Сведения о ненумерованных страницах и дополнительных материалах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исполнители, управляющие коды, архивные данные экземпляров, держатель документа, количество выдач, количественные характеристики, сведения о внешних объектах</w:t>
            </w:r>
          </w:p>
        </w:tc>
      </w:tr>
    </w:tbl>
    <w:p>
      <w:pPr>
        <w:pStyle w:val="BodyText"/>
      </w:pPr>
      <w:r>
        <w:t xml:space="preserve">Код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используется для описания подшивки. Код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используется для номера, вошедшего в подшивку. Эти коды формируются технологически при глобальной корректировке и не выбираются вручную при создании нового документа.</w:t>
      </w:r>
    </w:p>
    <w:bookmarkEnd w:id="18"/>
    <w:bookmarkStart w:id="19" w:name="рл-ibis-упрощённое-описание-книги"/>
    <w:p>
      <w:pPr>
        <w:pStyle w:val="Heading2"/>
      </w:pPr>
      <w:r>
        <w:t xml:space="preserve">10. РЛ IBIS: упрощённое описание книги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предназначен для упрощённого ввода данных о книге без полного анализа издания по традиционной методике.</w:t>
      </w:r>
    </w:p>
    <w:p>
      <w:pPr>
        <w:pStyle w:val="BodyText"/>
      </w:pPr>
      <w:r>
        <w:t xml:space="preserve">Такой РЛ содержит ограниченный набор страниц и не предполагает:</w:t>
      </w:r>
    </w:p>
    <w:p>
      <w:pPr>
        <w:pStyle w:val="Compact"/>
        <w:numPr>
          <w:ilvl w:val="0"/>
          <w:numId w:val="1006"/>
        </w:numPr>
      </w:pPr>
      <w:r>
        <w:t xml:space="preserve">проверки на дублетность по элементам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ввода результатов анализа издания для сложных видов описания;</w:t>
      </w:r>
    </w:p>
    <w:p>
      <w:pPr>
        <w:pStyle w:val="Compact"/>
        <w:numPr>
          <w:ilvl w:val="0"/>
          <w:numId w:val="1006"/>
        </w:numPr>
      </w:pPr>
      <w:r>
        <w:t xml:space="preserve">подготовки полного набора каталожных карточек и дополнительных точек доступа.</w:t>
      </w:r>
    </w:p>
    <w:p>
      <w:pPr>
        <w:pStyle w:val="FirstParagraph"/>
      </w:pPr>
      <w:r>
        <w:t xml:space="preserve">При этом сохраняется контроль обязательных полей и контроль дублетности шифра издания.</w:t>
      </w:r>
    </w:p>
    <w:bookmarkEnd w:id="19"/>
    <w:bookmarkStart w:id="21" w:name="дальнейший-перенос"/>
    <w:p>
      <w:pPr>
        <w:pStyle w:val="Heading2"/>
      </w:pPr>
      <w:r>
        <w:t xml:space="preserve">11. Дальнейший перенос</w:t>
      </w:r>
    </w:p>
    <w:p>
      <w:pPr>
        <w:pStyle w:val="FirstParagraph"/>
      </w:pPr>
      <w:r>
        <w:t xml:space="preserve">Общие страницы рабочих листов и поля, применяемые в нескольких видах описаний, описаны в разделе</w:t>
      </w:r>
      <w:r>
        <w:t xml:space="preserve"> </w:t>
      </w:r>
      <w:hyperlink r:id="rId20">
        <w:r>
          <w:rPr>
            <w:rStyle w:val="Hyperlink"/>
          </w:rPr>
          <w:t xml:space="preserve">Общие поля рабочих листов</w:t>
        </w:r>
      </w:hyperlink>
      <w:r>
        <w:t xml:space="preserve">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 заполнения отдельных полей</dc:title>
  <dc:creator/>
  <cp:keywords/>
  <dcterms:created xsi:type="dcterms:W3CDTF">2026-08-28T10:11:19Z</dcterms:created>
  <dcterms:modified xsi:type="dcterms:W3CDTF">2026-08-28T10:11:19Z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