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PAPI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papi"/>
    <w:p>
      <w:pPr>
        <w:pStyle w:val="Heading1"/>
      </w:pPr>
      <w:r>
        <w:t xml:space="preserve">Назначение PAPI</w:t>
      </w:r>
    </w:p>
    <w:p>
      <w:pPr>
        <w:pStyle w:val="FirstParagraph"/>
      </w:pPr>
      <w:r>
        <w:rPr>
          <w:rStyle w:val="VerbatimChar"/>
        </w:rPr>
        <w:t xml:space="preserve">PAPI</w:t>
      </w:r>
      <w:r>
        <w:t xml:space="preserve"> </w:t>
      </w:r>
      <w:r>
        <w:t xml:space="preserve">является совместимым программным шлюзом к объекту базы, выбранной параметром</w:t>
      </w:r>
      <w:r>
        <w:t xml:space="preserve"> </w:t>
      </w:r>
      <w:r>
        <w:rPr>
          <w:rStyle w:val="VerbatimChar"/>
        </w:rPr>
        <w:t xml:space="preserve">DbName</w:t>
      </w:r>
      <w:r>
        <w:t xml:space="preserve">. Если база не указана, используется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Запросы проходят через actions и одноименные функции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GetVersion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.</w:t>
      </w:r>
    </w:p>
    <w:p>
      <w:pPr>
        <w:pStyle w:val="BodyText"/>
      </w:pPr>
      <w:r>
        <w:t xml:space="preserve">Ответ формируется функцией</w:t>
      </w:r>
      <w:r>
        <w:t xml:space="preserve"> </w:t>
      </w:r>
      <w:r>
        <w:rPr>
          <w:rStyle w:val="VerbatimChar"/>
        </w:rPr>
        <w:t xml:space="preserve">Answer</w:t>
      </w:r>
      <w:r>
        <w:t xml:space="preserve">. Формат выбирается параметром</w:t>
      </w:r>
      <w:r>
        <w:t xml:space="preserve"> </w:t>
      </w:r>
      <w:r>
        <w:rPr>
          <w:rStyle w:val="VerbatimChar"/>
        </w:rPr>
        <w:t xml:space="preserve">responseFormat</w:t>
      </w:r>
      <w:r>
        <w:t xml:space="preserve">: JSON, отладочный вывод или PHP-представление массива. Доступ дополнительно ограничивается проверкой</w:t>
      </w:r>
      <w:r>
        <w:t xml:space="preserve"> </w:t>
      </w:r>
      <w:r>
        <w:rPr>
          <w:rStyle w:val="VerbatimChar"/>
        </w:rPr>
        <w:t xml:space="preserve">OrgSid</w:t>
      </w:r>
      <w:r>
        <w:t xml:space="preserve"> </w:t>
      </w:r>
      <w:r>
        <w:t xml:space="preserve">по списку разрешенных идентификаторов в модуле.</w:t>
      </w:r>
    </w:p>
    <w:p>
      <w:pPr>
        <w:pStyle w:val="BodyText"/>
      </w:pPr>
      <w:r>
        <w:t xml:space="preserve">Особенности эксплуатации:</w:t>
      </w:r>
    </w:p>
    <w:p>
      <w:pPr>
        <w:pStyle w:val="Compact"/>
        <w:numPr>
          <w:ilvl w:val="0"/>
          <w:numId w:val="1001"/>
        </w:numPr>
      </w:pPr>
      <w:r>
        <w:t xml:space="preserve">параметры читаются напрямую из HTTP-запроса;</w:t>
      </w:r>
    </w:p>
    <w:p>
      <w:pPr>
        <w:pStyle w:val="Compact"/>
        <w:numPr>
          <w:ilvl w:val="0"/>
          <w:numId w:val="1001"/>
        </w:numPr>
      </w:pPr>
      <w:r>
        <w:t xml:space="preserve">записи для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передаются параметром</w:t>
      </w:r>
      <w:r>
        <w:t xml:space="preserve"> </w:t>
      </w:r>
      <w:r>
        <w:rPr>
          <w:rStyle w:val="VerbatimChar"/>
        </w:rPr>
        <w:t xml:space="preserve">rec</w:t>
      </w:r>
      <w:r>
        <w:t xml:space="preserve"> </w:t>
      </w:r>
      <w:r>
        <w:t xml:space="preserve">и преобразуются во внутренний объект записи;</w:t>
      </w:r>
    </w:p>
    <w:p>
      <w:pPr>
        <w:pStyle w:val="Compact"/>
        <w:numPr>
          <w:ilvl w:val="0"/>
          <w:numId w:val="1001"/>
        </w:numPr>
      </w:pPr>
      <w:r>
        <w:t xml:space="preserve">модуль предназначен для совместимости со старыми интеграциями, поэтому новые сценарии лучше проектировать через более специализированные API.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PAPI</dc:title>
  <dc:creator/>
  <cp:keywords/>
  <dcterms:created xsi:type="dcterms:W3CDTF">2026-10-17T01:35:23Z</dcterms:created>
  <dcterms:modified xsi:type="dcterms:W3CDTF">2026-10-17T01:35:23Z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