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 главного меню, служащего для запуска тех или иных режимов работы (которые носят исключительно пакетный характер), и информационного окна, в котором представляются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873535"/>
            <wp:effectExtent b="0" l="0" r="0" t="0"/>
            <wp:docPr descr="Рисунок 1 - Общий вид интерфейса АРМа «Администратор серверный»" title="Общий вид интерфейса АРМа «Администратор серверный»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_serv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735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АРМа «Администратор серверный»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Действия клиента могут протоколироваться в технологической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настройка и просмотр протокола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Протоколирование действий клиента в АРМе Администратор</w:t>
        </w:r>
      </w:hyperlink>
      <w:r>
        <w:t xml:space="preserve">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Help/Admin64Server/ClientActionLo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Help/Admin64Server/ClientActionLo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2026-10-20T13:55:51Z</dcterms:created>
  <dcterms:modified xsi:type="dcterms:W3CDTF">2026-10-20T13:55:51Z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