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SyncPolicy и ConflictPolicy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syncpolicy-и-conflictpolicy"/>
    <w:p>
      <w:pPr>
        <w:pStyle w:val="Heading1"/>
      </w:pPr>
      <w:r>
        <w:t xml:space="preserve">SyncPolicy и ConflictPolicy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 </w:t>
      </w:r>
      <w:r>
        <w:t xml:space="preserve">являются настройками модуля</w:t>
      </w:r>
      <w:r>
        <w:t xml:space="preserve"> </w:t>
      </w:r>
      <w:r>
        <w:rPr>
          <w:rStyle w:val="VerbatimChar"/>
        </w:rPr>
        <w:t xml:space="preserve">API</w:t>
      </w:r>
      <w:r>
        <w:t xml:space="preserve"> </w:t>
      </w:r>
      <w:r>
        <w:t xml:space="preserve">для внешних интеграций, где одного mapping уже недостаточно. Они позволяют объяснимо определить, можно ли применить входящее или исходящее изменение, какие поля конфликтуют, какая policy выбрана и почему результат должен быть отклонен, отложен, передан доменному модулю или отправлен на ручное разрешение.</w:t>
      </w:r>
    </w:p>
    <w:bookmarkStart w:id="9" w:name="syncpolicy"/>
    <w:p>
      <w:pPr>
        <w:pStyle w:val="Heading2"/>
      </w:pPr>
      <w:r>
        <w:t xml:space="preserve">1. SyncPolicy</w:t>
      </w:r>
    </w:p>
    <w:p>
      <w:pPr>
        <w:pStyle w:val="FirstParagraph"/>
      </w:pPr>
      <w:r>
        <w:rPr>
          <w:rStyle w:val="VerbatimChar"/>
        </w:rPr>
        <w:t xml:space="preserve">SyncPolicy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синхронизации</w:t>
      </w:r>
      <w:r>
        <w:t xml:space="preserve">.</w:t>
      </w:r>
    </w:p>
    <w:p>
      <w:pPr>
        <w:pStyle w:val="BodyText"/>
      </w:pPr>
      <w:r>
        <w:t xml:space="preserve">Политика описывает:</w:t>
      </w:r>
    </w:p>
    <w:p>
      <w:pPr>
        <w:pStyle w:val="Compact"/>
        <w:numPr>
          <w:ilvl w:val="0"/>
          <w:numId w:val="1001"/>
        </w:numPr>
      </w:pPr>
      <w:r>
        <w:t xml:space="preserve">профиль внешней интеграции;</w:t>
      </w:r>
    </w:p>
    <w:p>
      <w:pPr>
        <w:pStyle w:val="Compact"/>
        <w:numPr>
          <w:ilvl w:val="0"/>
          <w:numId w:val="1001"/>
        </w:numPr>
      </w:pPr>
      <w:r>
        <w:t xml:space="preserve">APIContract и версию контракта;</w:t>
      </w:r>
    </w:p>
    <w:p>
      <w:pPr>
        <w:pStyle w:val="Compact"/>
        <w:numPr>
          <w:ilvl w:val="0"/>
          <w:numId w:val="1001"/>
        </w:numPr>
      </w:pPr>
      <w:r>
        <w:t xml:space="preserve">MappingProfile для нормализации payload;</w:t>
      </w:r>
    </w:p>
    <w:p>
      <w:pPr>
        <w:pStyle w:val="Compact"/>
        <w:numPr>
          <w:ilvl w:val="0"/>
          <w:numId w:val="1001"/>
        </w:numPr>
      </w:pPr>
      <w:r>
        <w:t xml:space="preserve">внутренний object type;</w:t>
      </w:r>
    </w:p>
    <w:p>
      <w:pPr>
        <w:pStyle w:val="Compact"/>
        <w:numPr>
          <w:ilvl w:val="0"/>
          <w:numId w:val="1001"/>
        </w:numPr>
      </w:pPr>
      <w:r>
        <w:t xml:space="preserve">направление</w:t>
      </w:r>
      <w:r>
        <w:t xml:space="preserve"> </w:t>
      </w:r>
      <w:r>
        <w:rPr>
          <w:rStyle w:val="VerbatimChar"/>
        </w:rPr>
        <w:t xml:space="preserve">inbound</w:t>
      </w:r>
      <w:r>
        <w:t xml:space="preserve">,</w:t>
      </w:r>
      <w:r>
        <w:t xml:space="preserve"> </w:t>
      </w:r>
      <w:r>
        <w:rPr>
          <w:rStyle w:val="VerbatimChar"/>
        </w:rPr>
        <w:t xml:space="preserve">outbound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bidirectional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source-of-truth policy;</w:t>
      </w:r>
    </w:p>
    <w:p>
      <w:pPr>
        <w:pStyle w:val="Compact"/>
        <w:numPr>
          <w:ilvl w:val="0"/>
          <w:numId w:val="1001"/>
        </w:numPr>
      </w:pPr>
      <w:r>
        <w:t xml:space="preserve">ссылку на ConflictPolicy;</w:t>
      </w:r>
    </w:p>
    <w:p>
      <w:pPr>
        <w:pStyle w:val="Compact"/>
        <w:numPr>
          <w:ilvl w:val="0"/>
          <w:numId w:val="1001"/>
        </w:numPr>
      </w:pPr>
      <w:r>
        <w:t xml:space="preserve">idempotency scope;</w:t>
      </w:r>
    </w:p>
    <w:p>
      <w:pPr>
        <w:pStyle w:val="Compact"/>
        <w:numPr>
          <w:ilvl w:val="0"/>
          <w:numId w:val="1001"/>
        </w:numPr>
      </w:pPr>
      <w:r>
        <w:t xml:space="preserve">обязательность TraceContext;</w:t>
      </w:r>
    </w:p>
    <w:p>
      <w:pPr>
        <w:pStyle w:val="Compact"/>
        <w:numPr>
          <w:ilvl w:val="0"/>
          <w:numId w:val="1001"/>
        </w:numPr>
      </w:pPr>
      <w:r>
        <w:t xml:space="preserve">stale data policy;</w:t>
      </w:r>
    </w:p>
    <w:p>
      <w:pPr>
        <w:pStyle w:val="Compact"/>
        <w:numPr>
          <w:ilvl w:val="0"/>
          <w:numId w:val="1001"/>
        </w:numPr>
      </w:pPr>
      <w:r>
        <w:t xml:space="preserve">retry eligibility;</w:t>
      </w:r>
    </w:p>
    <w:p>
      <w:pPr>
        <w:pStyle w:val="Compact"/>
        <w:numPr>
          <w:ilvl w:val="0"/>
          <w:numId w:val="1001"/>
        </w:numPr>
      </w:pPr>
      <w:r>
        <w:t xml:space="preserve">список разрешенных операций.</w:t>
      </w:r>
    </w:p>
    <w:p>
      <w:pPr>
        <w:pStyle w:val="FirstParagraph"/>
      </w:pPr>
      <w:r>
        <w:t xml:space="preserve">Операция SyncPolicy может быть только contract-уровнем. API строит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но не сохраняет доменную запись, не выполняет Workflow-переход, не публикует события и не ставит Queue job.</w:t>
      </w:r>
    </w:p>
    <w:bookmarkEnd w:id="9"/>
    <w:bookmarkStart w:id="10" w:name="conflictpolicy"/>
    <w:p>
      <w:pPr>
        <w:pStyle w:val="Heading2"/>
      </w:pPr>
      <w:r>
        <w:t xml:space="preserve">2. ConflictPolicy</w:t>
      </w:r>
    </w:p>
    <w:p>
      <w:pPr>
        <w:pStyle w:val="FirstParagraph"/>
      </w:pPr>
      <w:r>
        <w:rPr>
          <w:rStyle w:val="VerbatimChar"/>
        </w:rPr>
        <w:t xml:space="preserve">ConflictPolicy</w:t>
      </w:r>
      <w:r>
        <w:t xml:space="preserve"> </w:t>
      </w:r>
      <w:r>
        <w:t xml:space="preserve">хранится как отдельная API-запись с типом</w:t>
      </w:r>
      <w:r>
        <w:t xml:space="preserve"> </w:t>
      </w:r>
      <w:r>
        <w:rPr>
          <w:rStyle w:val="VerbatimChar"/>
        </w:rPr>
        <w:t xml:space="preserve">Политика разрешения конфликтов</w:t>
      </w:r>
      <w:r>
        <w:t xml:space="preserve">.</w:t>
      </w:r>
    </w:p>
    <w:p>
      <w:pPr>
        <w:pStyle w:val="BodyText"/>
      </w:pPr>
      <w:r>
        <w:t xml:space="preserve">Поддерживаемые стратегии: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reject-with-explanation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internal-wins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external-wins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last-writer-wins</w:t>
      </w:r>
      <w:r>
        <w:t xml:space="preserve"> </w:t>
      </w:r>
      <w:r>
        <w:t xml:space="preserve">только с явной timestamp/version policy;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manual-resolution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field-level-merge</w:t>
      </w:r>
      <w:r>
        <w:t xml:space="preserve">.</w:t>
      </w:r>
    </w:p>
    <w:p>
      <w:pPr>
        <w:pStyle w:val="FirstParagraph"/>
      </w:pPr>
      <w:r>
        <w:t xml:space="preserve">Если policy не задана или неполна, безопасное поведение по умолчанию -</w:t>
      </w:r>
      <w:r>
        <w:t xml:space="preserve"> </w:t>
      </w:r>
      <w:r>
        <w:rPr>
          <w:rStyle w:val="VerbatimChar"/>
        </w:rPr>
        <w:t xml:space="preserve">reject-with-explanation</w:t>
      </w:r>
      <w:r>
        <w:t xml:space="preserve">. Неявное перезаписывание внутреннего или внешнего состояния запрещено.</w:t>
      </w:r>
    </w:p>
    <w:bookmarkEnd w:id="10"/>
    <w:bookmarkStart w:id="11" w:name="dry-run-sync"/>
    <w:p>
      <w:pPr>
        <w:pStyle w:val="Heading2"/>
      </w:pPr>
      <w:r>
        <w:t xml:space="preserve">3. Dry-run sync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API/DryRunSync</w:t>
      </w:r>
      <w:r>
        <w:t xml:space="preserve"> </w:t>
      </w:r>
      <w:r>
        <w:t xml:space="preserve">принимает sync context и payload, вызывает</w:t>
      </w:r>
      <w:r>
        <w:t xml:space="preserve"> </w:t>
      </w:r>
      <w:r>
        <w:rPr>
          <w:rStyle w:val="VerbatimChar"/>
        </w:rPr>
        <w:t xml:space="preserve">API/DryRunMapping</w:t>
      </w:r>
      <w:r>
        <w:t xml:space="preserve">, подбирает SyncPolicy/ConflictPolicy, классифицирует field-level conflicts и возвращает</w:t>
      </w:r>
      <w:r>
        <w:t xml:space="preserve"> </w:t>
      </w:r>
      <w:r>
        <w:rPr>
          <w:rStyle w:val="VerbatimChar"/>
        </w:rPr>
        <w:t xml:space="preserve">SyncPlan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SyncPlan</w:t>
      </w:r>
      <w:r>
        <w:t xml:space="preserve"> </w:t>
      </w:r>
      <w:r>
        <w:t xml:space="preserve">включает:</w:t>
      </w:r>
    </w:p>
    <w:p>
      <w:pPr>
        <w:pStyle w:val="Compact"/>
        <w:numPr>
          <w:ilvl w:val="0"/>
          <w:numId w:val="1003"/>
        </w:numPr>
      </w:pPr>
      <w:r>
        <w:t xml:space="preserve">normalized payload;</w:t>
      </w:r>
    </w:p>
    <w:p>
      <w:pPr>
        <w:pStyle w:val="Compact"/>
        <w:numPr>
          <w:ilvl w:val="0"/>
          <w:numId w:val="1003"/>
        </w:numPr>
      </w:pPr>
      <w:r>
        <w:t xml:space="preserve">найденный ExternalId;</w:t>
      </w:r>
    </w:p>
    <w:p>
      <w:pPr>
        <w:pStyle w:val="Compact"/>
        <w:numPr>
          <w:ilvl w:val="0"/>
          <w:numId w:val="1003"/>
        </w:numPr>
      </w:pPr>
      <w:r>
        <w:t xml:space="preserve">ссылку на внутренний объект;</w:t>
      </w:r>
    </w:p>
    <w:p>
      <w:pPr>
        <w:pStyle w:val="Compact"/>
        <w:numPr>
          <w:ilvl w:val="0"/>
          <w:numId w:val="1003"/>
        </w:numPr>
      </w:pPr>
      <w:r>
        <w:t xml:space="preserve">proposed field changes по stable field keys;</w:t>
      </w:r>
    </w:p>
    <w:p>
      <w:pPr>
        <w:pStyle w:val="Compact"/>
        <w:numPr>
          <w:ilvl w:val="0"/>
          <w:numId w:val="1003"/>
        </w:numPr>
      </w:pPr>
      <w:r>
        <w:t xml:space="preserve">workflow action request без выполнения перехода;</w:t>
      </w:r>
    </w:p>
    <w:p>
      <w:pPr>
        <w:pStyle w:val="Compact"/>
        <w:numPr>
          <w:ilvl w:val="0"/>
          <w:numId w:val="1003"/>
        </w:numPr>
      </w:pPr>
      <w:r>
        <w:t xml:space="preserve">participant/file resolver requests;</w:t>
      </w:r>
    </w:p>
    <w:p>
      <w:pPr>
        <w:pStyle w:val="Compact"/>
        <w:numPr>
          <w:ilvl w:val="0"/>
          <w:numId w:val="1003"/>
        </w:numPr>
      </w:pPr>
      <w:r>
        <w:t xml:space="preserve">conflict classes;</w:t>
      </w:r>
    </w:p>
    <w:p>
      <w:pPr>
        <w:pStyle w:val="Compact"/>
        <w:numPr>
          <w:ilvl w:val="0"/>
          <w:numId w:val="1003"/>
        </w:numPr>
      </w:pPr>
      <w:r>
        <w:t xml:space="preserve">выбранную policy decision;</w:t>
      </w:r>
    </w:p>
    <w:p>
      <w:pPr>
        <w:pStyle w:val="Compact"/>
        <w:numPr>
          <w:ilvl w:val="0"/>
          <w:numId w:val="1003"/>
        </w:numPr>
      </w:pPr>
      <w:r>
        <w:t xml:space="preserve">idempotency fingerprint;</w:t>
      </w:r>
    </w:p>
    <w:p>
      <w:pPr>
        <w:pStyle w:val="Compact"/>
        <w:numPr>
          <w:ilvl w:val="0"/>
          <w:numId w:val="1003"/>
        </w:numPr>
      </w:pPr>
      <w:r>
        <w:t xml:space="preserve">trace metadata;</w:t>
      </w:r>
    </w:p>
    <w:p>
      <w:pPr>
        <w:pStyle w:val="Compact"/>
        <w:numPr>
          <w:ilvl w:val="0"/>
          <w:numId w:val="1003"/>
        </w:numPr>
      </w:pPr>
      <w:r>
        <w:t xml:space="preserve">Security summary;</w:t>
      </w:r>
    </w:p>
    <w:p>
      <w:pPr>
        <w:pStyle w:val="Compact"/>
        <w:numPr>
          <w:ilvl w:val="0"/>
          <w:numId w:val="1003"/>
        </w:numPr>
      </w:pPr>
      <w:r>
        <w:t xml:space="preserve">стандартный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 </w:t>
      </w:r>
      <w:r>
        <w:t xml:space="preserve">для доменного модуля.</w:t>
      </w:r>
    </w:p>
    <w:p>
      <w:pPr>
        <w:pStyle w:val="FirstParagraph"/>
      </w:pPr>
      <w:r>
        <w:t xml:space="preserve">Dry-run sync не имеет побочных эффектов.</w:t>
      </w:r>
    </w:p>
    <w:bookmarkEnd w:id="11"/>
    <w:bookmarkStart w:id="12" w:name="границы-ответственности"/>
    <w:p>
      <w:pPr>
        <w:pStyle w:val="Heading2"/>
      </w:pPr>
      <w:r>
        <w:t xml:space="preserve">4. Границы ответственности</w:t>
      </w:r>
    </w:p>
    <w:p>
      <w:pPr>
        <w:pStyle w:val="FirstParagraph"/>
      </w:pPr>
      <w:r>
        <w:rPr>
          <w:rStyle w:val="VerbatimChar"/>
        </w:rPr>
        <w:t xml:space="preserve">API</w:t>
      </w:r>
      <w:r>
        <w:t xml:space="preserve"> </w:t>
      </w:r>
      <w:r>
        <w:t xml:space="preserve">владеет SyncPolicy, ConflictPolicy, dry-run sync, explainable diff, SyncPlan, SyncApplyRequest/SyncApplyResult contract, where-used и API diagnostics.</w:t>
      </w:r>
    </w:p>
    <w:p>
      <w:pPr>
        <w:pStyle w:val="BodyText"/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inbox/outbox, delivery, retry и dead-letter доставки.</w:t>
      </w:r>
    </w:p>
    <w:p>
      <w:pPr>
        <w:pStyle w:val="BodyText"/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scheduling, retry/backoff, timeout, worker state и job dead-letter.</w:t>
      </w:r>
    </w:p>
    <w:p>
      <w:pPr>
        <w:pStyle w:val="BodyText"/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правами, grants/denies, masking, field security и безопасными отказами доступа.</w:t>
      </w:r>
    </w:p>
    <w:p>
      <w:pPr>
        <w:pStyle w:val="BodyText"/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stable field keys и семантикой полей.</w:t>
      </w:r>
    </w:p>
    <w:p>
      <w:pPr>
        <w:pStyle w:val="BodyText"/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workflow-проектами, статусами, переходами и доступностью workflow-действий.</w:t>
      </w:r>
    </w:p>
    <w:p>
      <w:pPr>
        <w:pStyle w:val="BodyText"/>
      </w:pPr>
      <w:r>
        <w:t xml:space="preserve">Доменные модули применяют</w:t>
      </w:r>
      <w:r>
        <w:t xml:space="preserve"> </w:t>
      </w:r>
      <w:r>
        <w:rPr>
          <w:rStyle w:val="VerbatimChar"/>
        </w:rPr>
        <w:t xml:space="preserve">SyncApplyRequest</w:t>
      </w:r>
      <w:r>
        <w:t xml:space="preserve">, сохраняют записи, выполняют бизнес-валидацию и возвращают</w:t>
      </w:r>
      <w:r>
        <w:t xml:space="preserve"> </w:t>
      </w:r>
      <w:r>
        <w:rPr>
          <w:rStyle w:val="VerbatimChar"/>
        </w:rPr>
        <w:t xml:space="preserve">SyncApplyResult</w:t>
      </w:r>
      <w:r>
        <w:t xml:space="preserve">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SyncPolicy и ConflictPolicy</dc:title>
  <dc:creator/>
  <cp:keywords/>
  <dcterms:created xsi:type="dcterms:W3CDTF">2026-10-27T23:38:45Z</dcterms:created>
  <dcterms:modified xsi:type="dcterms:W3CDTF">2026-10-27T23:38:45Z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