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УДК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удк"/>
    <w:p>
      <w:pPr>
        <w:pStyle w:val="Heading1"/>
      </w:pPr>
      <w:r>
        <w:t xml:space="preserve">Указатель УДК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ATHRU</w:t>
      </w:r>
      <w:r>
        <w:t xml:space="preserve"> </w:t>
      </w:r>
      <w:r>
        <w:t xml:space="preserve">ведёт записи указателя УДК.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t xml:space="preserve">База указателя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GetUdcNodes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 </w:t>
      </w:r>
      <w:r>
        <w:t xml:space="preserve">используются как контролируемый справочник классификационных рубрик УДК.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УДК</dc:title>
  <dc:creator/>
  <cp:keywords/>
  <dcterms:created xsi:type="dcterms:W3CDTF">2026-10-02T14:09:45Z</dcterms:created>
  <dcterms:modified xsi:type="dcterms:W3CDTF">2026-10-02T14:09:45Z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