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раницы-модуля-ai"/>
    <w:p>
      <w:pPr>
        <w:pStyle w:val="Heading1"/>
      </w:pPr>
      <w:r>
        <w:t xml:space="preserve">Страницы модуля AI</w:t>
      </w:r>
    </w:p>
    <w:p>
      <w:pPr>
        <w:pStyle w:val="FirstParagraph"/>
      </w:pPr>
      <w:r>
        <w:t xml:space="preserve">Этот раздел описывает пользовательские и административные страницы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Все страницы открываются как системные страницы ИРБИС 128 по адресу</w:t>
      </w:r>
      <w:r>
        <w:t xml:space="preserve"> </w:t>
      </w:r>
      <w:r>
        <w:rPr>
          <w:rStyle w:val="VerbatimChar"/>
        </w:rPr>
        <w:t xml:space="preserve">?id=AI/&lt;страница&gt;</w:t>
      </w:r>
      <w:r>
        <w:t xml:space="preserve"> </w:t>
      </w:r>
      <w:r>
        <w:t xml:space="preserve">и регистрируются процедурой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В текущем безопасном срезе прямой доступ к страницам выдается группе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широкие права</w:t>
      </w:r>
      <w:r>
        <w:t xml:space="preserve"> </w:t>
      </w:r>
      <w:r>
        <w:rPr>
          <w:rStyle w:val="VerbatimChar"/>
        </w:rPr>
        <w:t xml:space="preserve">IP 0/1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SITESPEC/USER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при регистрации снимаются.</w:t>
      </w:r>
    </w:p>
    <w:bookmarkStart w:id="9" w:name="общие-правила-работы"/>
    <w:p>
      <w:pPr>
        <w:pStyle w:val="Heading2"/>
      </w:pPr>
      <w:r>
        <w:t xml:space="preserve">1. Общие правила работы</w:t>
      </w:r>
    </w:p>
    <w:p>
      <w:pPr>
        <w:pStyle w:val="FirstParagraph"/>
      </w:pPr>
      <w:r>
        <w:t xml:space="preserve">На рабочих страницах есть навигационная строка по основным разделам AI: запрос, диагностика и проверка. Вопрос по полнотекстовому документу задается не на отдельной странице AI, а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Сценарий дополнения ИМИДЖ-записи библиографическими полями запускается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Каталогизатор. Диагностическая страница инструмента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отделена от рабочей навигации и 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Эксплуатационная консоль агентных сессий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Диагностические страницы показывают результат операций в JSON-блоках. Эти блоки предназначены для диагностики: они помогают увидеть реальные флаги, выбранную модель, ошибки политики, audit-метаданные, id задач и служебные идентификаторы. На пользовательской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показ технических деталей управляется настройкой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по умолчанию выключен.</w:t>
      </w:r>
    </w:p>
    <w:p>
      <w:pPr>
        <w:pStyle w:val="BodyText"/>
      </w:pPr>
      <w:r>
        <w:t xml:space="preserve">Секреты в профилях поставщиков, audit и диагностических отчетах должны отображаться только в замаскированном виде. Если пользователь видит в ответе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это нормальное поведение: реальный ключ или пароль не должен выводиться в Help, UI, export, audit или отчете внешней передачи данных.</w:t>
      </w:r>
    </w:p>
    <w:p>
      <w:pPr>
        <w:pStyle w:val="BodyText"/>
      </w:pPr>
      <w:r>
        <w:t xml:space="preserve">Флаги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allowNetwork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allowFallbackToExternal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не являются обычными настройками</w:t>
      </w:r>
      <w:r>
        <w:t xml:space="preserve"> </w:t>
      </w:r>
      <w:r>
        <w:t xml:space="preserve">“для удобства”</w:t>
      </w:r>
      <w:r>
        <w:t xml:space="preserve">. Они явно переводят операцию в диагностический, сетевой, внешний, queue, draft или write-контур. Если флаг не понятен пользователю, его не следует включать без администратора.</w:t>
      </w:r>
    </w:p>
    <w:bookmarkEnd w:id="9"/>
    <w:bookmarkStart w:id="10" w:name="быстрый-справочник"/>
    <w:p>
      <w:pPr>
        <w:pStyle w:val="Heading2"/>
      </w:pPr>
      <w:r>
        <w:t xml:space="preserve">2. Быстрый справочник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Страница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Основные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AI/Ask</w:t>
            </w:r>
          </w:p>
        </w:tc>
        <w:tc>
          <w:tcPr/>
          <w:p>
            <w:pPr>
              <w:pStyle w:val="Compact"/>
            </w:pPr>
            <w:r>
              <w:t xml:space="preserve">Текстовый runtime-запрос</w:t>
            </w:r>
          </w:p>
        </w:tc>
        <w:tc>
          <w:tcPr/>
          <w:p>
            <w:pPr>
              <w:pStyle w:val="Compact"/>
            </w:pPr>
            <w:r>
              <w:t xml:space="preserve">Отправка prompt с настройками runtime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AI/Diagnostics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диагностика</w:t>
            </w:r>
          </w:p>
        </w:tc>
        <w:tc>
          <w:tcPr/>
          <w:p>
            <w:pPr>
              <w:pStyle w:val="Compact"/>
            </w:pPr>
            <w:r>
              <w:t xml:space="preserve">Статус, конфигурация, allowlist, provider/model routing, audit, внешние передачи, invalidation производных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AI/Tools</w:t>
            </w:r>
          </w:p>
        </w:tc>
        <w:tc>
          <w:tcPr/>
          <w:p>
            <w:pPr>
              <w:pStyle w:val="Compact"/>
            </w:pPr>
            <w:r>
              <w:t xml:space="preserve">Диагностический вызов allowlist-инструмента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карточки</w:t>
            </w:r>
            <w:r>
              <w:t xml:space="preserve"> </w:t>
            </w:r>
            <w:r>
              <w:rPr>
                <w:rStyle w:val="VerbatimChar"/>
              </w:rPr>
              <w:t xml:space="preserve">AITool</w:t>
            </w:r>
            <w:r>
              <w:t xml:space="preserve">; описание выбранного инструмента, форма по</w:t>
            </w:r>
            <w:r>
              <w:t xml:space="preserve"> </w:t>
            </w:r>
            <w:r>
              <w:rPr>
                <w:rStyle w:val="VerbatimChar"/>
              </w:rPr>
              <w:t xml:space="preserve">inputSchema</w:t>
            </w:r>
            <w:r>
              <w:t xml:space="preserve">;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AI::InvokeTool()</w:t>
            </w:r>
            <w:r>
              <w:t xml:space="preserve"> </w:t>
            </w:r>
            <w:r>
              <w:t xml:space="preserve">после отправки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AI/Reviews</w:t>
            </w:r>
          </w:p>
        </w:tc>
        <w:tc>
          <w:tcPr/>
          <w:p>
            <w:pPr>
              <w:pStyle w:val="Compact"/>
            </w:pPr>
            <w:r>
              <w:t xml:space="preserve">Ручная проверка AI-действий</w:t>
            </w:r>
          </w:p>
        </w:tc>
        <w:tc>
          <w:tcPr/>
          <w:p>
            <w:pPr>
              <w:pStyle w:val="Compact"/>
            </w:pPr>
            <w:r>
              <w:t xml:space="preserve">Approve/reject/correct, dry-run и применение черновика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AI/Agent</w:t>
            </w:r>
          </w:p>
        </w:tc>
        <w:tc>
          <w:tcPr/>
          <w:p>
            <w:pPr>
              <w:pStyle w:val="Compact"/>
            </w:pPr>
            <w:r>
              <w:t xml:space="preserve">Эксплуатационная консоль агентных сессий</w:t>
            </w:r>
          </w:p>
        </w:tc>
        <w:tc>
          <w:tcPr/>
          <w:p>
            <w:pPr>
              <w:pStyle w:val="Compact"/>
            </w:pPr>
            <w:r>
              <w:t xml:space="preserve">Открывается из настроек модуля</w:t>
            </w:r>
            <w:r>
              <w:t xml:space="preserve"> </w:t>
            </w:r>
            <w:r>
              <w:rPr>
                <w:rStyle w:val="VerbatimChar"/>
              </w:rPr>
              <w:t xml:space="preserve">AI</w:t>
            </w:r>
            <w:r>
              <w:t xml:space="preserve">; создание, просмотр, dry-run шага, pause/resume/archive</w:t>
            </w:r>
          </w:p>
        </w:tc>
      </w:tr>
    </w:tbl>
    <w:bookmarkEnd w:id="10"/>
    <w:bookmarkStart w:id="11" w:name="aiask"/>
    <w:p>
      <w:pPr>
        <w:pStyle w:val="Heading2"/>
      </w:pPr>
      <w:r>
        <w:t xml:space="preserve">3. AI/Ask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?id=AI/Ask</w:t>
      </w:r>
      <w:r>
        <w:t xml:space="preserve">.</w:t>
      </w:r>
    </w:p>
    <w:p>
      <w:pPr>
        <w:pStyle w:val="BodyText"/>
      </w:pPr>
      <w:r>
        <w:t xml:space="preserve">Страница предназначена для прямого текстового запроса к AI runtime. Пользователь вводит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. Политика маршрутизации,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группы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“Страница AI/Ask”</w:t>
      </w:r>
      <w:r>
        <w:t xml:space="preserve"> </w:t>
      </w:r>
      <w:r>
        <w:t xml:space="preserve">в АРМ Администратор.</w:t>
      </w:r>
    </w:p>
    <w:p>
      <w:pPr>
        <w:pStyle w:val="BodyText"/>
      </w:pPr>
      <w:r>
        <w:t xml:space="preserve">Форма содержит:</w:t>
      </w:r>
    </w:p>
    <w:p>
      <w:pPr>
        <w:pStyle w:val="Compact"/>
        <w:numPr>
          <w:ilvl w:val="0"/>
          <w:numId w:val="1001"/>
        </w:numPr>
      </w:pPr>
      <w:r>
        <w:t xml:space="preserve">“Prompt”</w:t>
      </w:r>
      <w:r>
        <w:t xml:space="preserve"> </w:t>
      </w:r>
      <w:r>
        <w:t xml:space="preserve">- пользовательский текст запроса.</w:t>
      </w:r>
    </w:p>
    <w:p>
      <w:pPr>
        <w:pStyle w:val="FirstParagraph"/>
      </w:pPr>
      <w:r>
        <w:t xml:space="preserve">После отправки страница вызывает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 Ответ модели выводится как читаемый текст. Полный JSON показывается в блоке</w:t>
      </w:r>
      <w:r>
        <w:t xml:space="preserve"> </w:t>
      </w:r>
      <w:r>
        <w:t xml:space="preserve">“Технические детали”</w:t>
      </w:r>
      <w:r>
        <w:t xml:space="preserve"> </w:t>
      </w:r>
      <w:r>
        <w:t xml:space="preserve">только при включенной настройке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; по умолчанию пользователь видит только ответ модели или понятное сообщение об ошибке. Перед обращением к provider выполняются проверка доступа к модулю AI, выключатели, классификация данных, политика внешней передачи, лимиты, маршрутизация модели и защита от prompt injection.</w:t>
      </w:r>
    </w:p>
    <w:p>
      <w:pPr>
        <w:pStyle w:val="BodyText"/>
      </w:pPr>
      <w:r>
        <w:t xml:space="preserve">Для закрытого контура задайте в настройках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политику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не включайте внешние флаги. Для проверки локального OpenAI-compatible endpoint настройка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должна быть включена.</w:t>
      </w:r>
    </w:p>
    <w:bookmarkEnd w:id="11"/>
    <w:bookmarkStart w:id="12" w:name="вопрос-по-документу-в-ftshowft"/>
    <w:p>
      <w:pPr>
        <w:pStyle w:val="Heading2"/>
      </w:pPr>
      <w:r>
        <w:t xml:space="preserve">4. Вопрос по документу в FT/ShowFT</w:t>
      </w:r>
    </w:p>
    <w:p>
      <w:pPr>
        <w:pStyle w:val="FirstParagraph"/>
      </w:pPr>
      <w:r>
        <w:t xml:space="preserve">Пользователь открывает полный текст обычным способом через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установлен, 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Она открывает боковую панель с единственным пользовательским полем — вопросом по текущему документу. SID берется из открытой FT-записи автоматически; policy, provider/model, diagnostic, dry-run и network-флаги в пользовательском интерфейсе не показываются и читаются на сервере из настроек AI.</w:t>
      </w:r>
    </w:p>
    <w:p>
      <w:pPr>
        <w:pStyle w:val="BodyText"/>
      </w:pPr>
      <w:r>
        <w:t xml:space="preserve">Виджет вызывает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в viewer-режиме, а тот передает запрос в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Метод читает документ только через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проверка прав на модуль AI, модуль FT и конкретную FT-запись, политика инструмента и audit. Текст FT-документа считается недоверенным: инструкции внутри документа не меняют системные правила и не могут заставить AI вызвать инструмент.</w:t>
      </w:r>
    </w:p>
    <w:p>
      <w:pPr>
        <w:pStyle w:val="BodyText"/>
      </w:pPr>
      <w:r>
        <w:t xml:space="preserve">Ответ показывает текст и источники. Для постраничного документа источник с координатами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; без координат ссылка ведет на сам документ. 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виджет сначала сообщает, что текст не подготовлен, и показывает отдельную кнопку</w:t>
      </w:r>
      <w:r>
        <w:t xml:space="preserve"> </w:t>
      </w:r>
      <w:r>
        <w:t xml:space="preserve">“Подготовить текст”</w:t>
      </w:r>
      <w:r>
        <w:t xml:space="preserve">. Только это подтвержденное действие повторяет запрос с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 </w:t>
      </w:r>
      <w:r>
        <w:t xml:space="preserve">и ставит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Через API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 </w:t>
      </w:r>
      <w:r>
        <w:t xml:space="preserve">по-прежнему доступны расширенные параметры, включая выбор контекста через подготовленный RAG-индекс по</w:t>
      </w:r>
      <w:r>
        <w:t xml:space="preserve"> </w:t>
      </w:r>
      <w:r>
        <w:rPr>
          <w:rStyle w:val="VerbatimChar"/>
        </w:rPr>
        <w:t xml:space="preserve">ragIndexId</w:t>
      </w:r>
      <w:r>
        <w:t xml:space="preserve">. Они предназначены для сценариев и диагностических вызовов, а не для пользовательского виджета FT.</w:t>
      </w:r>
    </w:p>
    <w:bookmarkEnd w:id="12"/>
    <w:bookmarkStart w:id="13" w:name="aidiagnostics"/>
    <w:p>
      <w:pPr>
        <w:pStyle w:val="Heading2"/>
      </w:pPr>
      <w:r>
        <w:t xml:space="preserve">5. AI/Diagnostics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?id=AI/Diagnostics</w:t>
      </w:r>
      <w:r>
        <w:t xml:space="preserve">.</w:t>
      </w:r>
    </w:p>
    <w:p>
      <w:pPr>
        <w:pStyle w:val="BodyText"/>
      </w:pPr>
      <w:r>
        <w:t xml:space="preserve">Страница объединяет эксплуатационные проверки:</w:t>
      </w:r>
    </w:p>
    <w:p>
      <w:pPr>
        <w:pStyle w:val="Compact"/>
        <w:numPr>
          <w:ilvl w:val="0"/>
          <w:numId w:val="1002"/>
        </w:numPr>
      </w:pPr>
      <w:r>
        <w:t xml:space="preserve">статус модуля;</w:t>
      </w:r>
    </w:p>
    <w:p>
      <w:pPr>
        <w:pStyle w:val="Compact"/>
        <w:numPr>
          <w:ilvl w:val="0"/>
          <w:numId w:val="1002"/>
        </w:numPr>
      </w:pPr>
      <w:r>
        <w:t xml:space="preserve">проверку конфигурации;</w:t>
      </w:r>
    </w:p>
    <w:p>
      <w:pPr>
        <w:pStyle w:val="Compact"/>
        <w:numPr>
          <w:ilvl w:val="0"/>
          <w:numId w:val="1002"/>
        </w:numPr>
      </w:pPr>
      <w:r>
        <w:t xml:space="preserve">эффективные лимиты выполнения через</w:t>
      </w:r>
      <w:r>
        <w:t xml:space="preserve"> </w:t>
      </w:r>
      <w:r>
        <w:rPr>
          <w:rStyle w:val="VerbatimChar"/>
        </w:rPr>
        <w:t xml:space="preserve">AI::GetLimitPolicy()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безопасные выключатели;</w:t>
      </w:r>
    </w:p>
    <w:p>
      <w:pPr>
        <w:pStyle w:val="Compact"/>
        <w:numPr>
          <w:ilvl w:val="0"/>
          <w:numId w:val="1002"/>
        </w:numPr>
      </w:pPr>
      <w:r>
        <w:t xml:space="preserve">свернутый allowlist инструментов через</w:t>
      </w:r>
      <w:r>
        <w:t xml:space="preserve"> </w:t>
      </w:r>
      <w:r>
        <w:rPr>
          <w:rStyle w:val="VerbatimChar"/>
        </w:rPr>
        <w:t xml:space="preserve">AI::GetToolDefinitions()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проверку provider без сетевого обращения через</w:t>
      </w:r>
      <w:r>
        <w:t xml:space="preserve"> </w:t>
      </w:r>
      <w:r>
        <w:rPr>
          <w:rStyle w:val="VerbatimChar"/>
        </w:rPr>
        <w:t xml:space="preserve">AI::TestProvider($providerId, false)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замаскированный список provider-профилей;</w:t>
      </w:r>
    </w:p>
    <w:p>
      <w:pPr>
        <w:pStyle w:val="Compact"/>
        <w:numPr>
          <w:ilvl w:val="0"/>
          <w:numId w:val="1002"/>
        </w:numPr>
      </w:pPr>
      <w:r>
        <w:t xml:space="preserve">проверку выбора модели и fallback через</w:t>
      </w:r>
      <w:r>
        <w:t xml:space="preserve"> </w:t>
      </w:r>
      <w:r>
        <w:rPr>
          <w:rStyle w:val="VerbatimChar"/>
        </w:rPr>
        <w:t xml:space="preserve">AI::ResolveModel()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форму инвалидирования производных данных;</w:t>
      </w:r>
    </w:p>
    <w:p>
      <w:pPr>
        <w:pStyle w:val="Compact"/>
        <w:numPr>
          <w:ilvl w:val="0"/>
          <w:numId w:val="1002"/>
        </w:numPr>
      </w:pPr>
      <w:r>
        <w:t xml:space="preserve">последние audit-события;</w:t>
      </w:r>
    </w:p>
    <w:p>
      <w:pPr>
        <w:pStyle w:val="Compact"/>
        <w:numPr>
          <w:ilvl w:val="0"/>
          <w:numId w:val="1002"/>
        </w:numPr>
      </w:pPr>
      <w:r>
        <w:t xml:space="preserve">отчет о внешней передаче данных.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t xml:space="preserve">“Инвалидирование производных данных”</w:t>
      </w:r>
      <w:r>
        <w:t xml:space="preserve"> </w:t>
      </w:r>
      <w:r>
        <w:t xml:space="preserve">принимает тип источника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help</w:t>
      </w:r>
      <w:r>
        <w:t xml:space="preserve"> </w:t>
      </w:r>
      <w:r>
        <w:t xml:space="preserve">используется path, для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 SID, для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- DBN и MFN. После отправки вызывается</w:t>
      </w:r>
      <w:r>
        <w:t xml:space="preserve"> </w:t>
      </w:r>
      <w:r>
        <w:rPr>
          <w:rStyle w:val="VerbatimChar"/>
        </w:rPr>
        <w:t xml:space="preserve">AI::InvalidateDerivedData($source)</w:t>
      </w:r>
      <w:r>
        <w:t xml:space="preserve">. Операция помечает связанные embedding chunks как stale, инвалидирует память и возвращает rebuild-policy. При изменении прав источника регламентный вызов должен использовать причину</w:t>
      </w:r>
      <w:r>
        <w:t xml:space="preserve"> </w:t>
      </w:r>
      <w:r>
        <w:rPr>
          <w:rStyle w:val="VerbatimChar"/>
        </w:rPr>
        <w:t xml:space="preserve">rightsChanged</w:t>
      </w:r>
      <w:r>
        <w:t xml:space="preserve">; UI-форма задает источник, а подробная причина может передаваться через API.</w:t>
      </w:r>
    </w:p>
    <w:p>
      <w:pPr>
        <w:pStyle w:val="BodyText"/>
      </w:pPr>
      <w:r>
        <w:t xml:space="preserve">Audit и отчет внешней передачи доступны только пользователям с административным доступом. Детали событий маскируются, чтобы не раскрывать API-ключи, токены, пароли и другие секреты.</w:t>
      </w:r>
    </w:p>
    <w:bookmarkEnd w:id="13"/>
    <w:bookmarkStart w:id="14" w:name="aitools"/>
    <w:p>
      <w:pPr>
        <w:pStyle w:val="Heading2"/>
      </w:pPr>
      <w:r>
        <w:t xml:space="preserve">6. AI/Tools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?id=AI/Tools&amp;toolId=&lt;toolId&gt;</w:t>
      </w:r>
      <w:r>
        <w:t xml:space="preserve">.</w:t>
      </w:r>
    </w:p>
    <w:p>
      <w:pPr>
        <w:pStyle w:val="BodyText"/>
      </w:pPr>
      <w:r>
        <w:t xml:space="preserve">Страница служит для диагностического запуска одного allowlist-инструмента. Обычно она открывается из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 кнопкой</w:t>
      </w:r>
      <w:r>
        <w:t xml:space="preserve"> </w:t>
      </w:r>
      <w:r>
        <w:t xml:space="preserve">“Диагностический запуск”</w:t>
      </w:r>
      <w:r>
        <w:t xml:space="preserve">; кнопка передает идентификатор инструмента в параметре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. Прямой переход без параметра больше не показывает список выбора: страница просит открыть диагностику из карточки конкретного инструмента.</w:t>
      </w:r>
    </w:p>
    <w:p>
      <w:pPr>
        <w:pStyle w:val="BodyText"/>
      </w:pPr>
      <w:r>
        <w:t xml:space="preserve">Верхний блок показывает краткое описание для администратора: название, идентификатор и назначение инструмента. Режим работы, побочные эффекты, политика подтверждения, необходимые права, лимиты, входные параметры и ожидаемый результат выводятся в свернутом блоке</w:t>
      </w:r>
      <w:r>
        <w:t xml:space="preserve"> </w:t>
      </w:r>
      <w:r>
        <w:t xml:space="preserve">“Данные об инструменте”</w:t>
      </w:r>
      <w:r>
        <w:t xml:space="preserve">. Полный технический массив инструмента выводится ниже в свернутом блоке</w:t>
      </w:r>
      <w:r>
        <w:t xml:space="preserve"> </w:t>
      </w:r>
      <w:r>
        <w:t xml:space="preserve">“Техническое описание”</w:t>
      </w:r>
      <w:r>
        <w:t xml:space="preserve">.</w:t>
      </w:r>
    </w:p>
    <w:p>
      <w:pPr>
        <w:pStyle w:val="BodyText"/>
      </w:pPr>
      <w:r>
        <w:t xml:space="preserve">Форма строится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выбранного инструмента:</w:t>
      </w:r>
    </w:p>
    <w:p>
      <w:pPr>
        <w:pStyle w:val="Compact"/>
        <w:numPr>
          <w:ilvl w:val="0"/>
          <w:numId w:val="1003"/>
        </w:numPr>
      </w:pPr>
      <w:r>
        <w:t xml:space="preserve">строки, целые числа и числа отображаются отдельными полями ввода;</w:t>
      </w:r>
    </w:p>
    <w:p>
      <w:pPr>
        <w:pStyle w:val="Compact"/>
        <w:numPr>
          <w:ilvl w:val="0"/>
          <w:numId w:val="1003"/>
        </w:numPr>
      </w:pPr>
      <w:r>
        <w:t xml:space="preserve">логические параметры отображаются флажками;</w:t>
      </w:r>
    </w:p>
    <w:p>
      <w:pPr>
        <w:pStyle w:val="Compact"/>
        <w:numPr>
          <w:ilvl w:val="0"/>
          <w:numId w:val="1003"/>
        </w:numPr>
      </w:pPr>
      <w:r>
        <w:t xml:space="preserve">параметры типа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вводятся как небольшие JSON-фрагменты только для конкретного поля;</w:t>
      </w:r>
    </w:p>
    <w:p>
      <w:pPr>
        <w:pStyle w:val="Compact"/>
        <w:numPr>
          <w:ilvl w:val="0"/>
          <w:numId w:val="1003"/>
        </w:numPr>
      </w:pPr>
      <w:r>
        <w:t xml:space="preserve">обязательность берется из</w:t>
      </w:r>
      <w:r>
        <w:t xml:space="preserve"> </w:t>
      </w:r>
      <w:r>
        <w:rPr>
          <w:rStyle w:val="VerbatimChar"/>
        </w:rPr>
        <w:t xml:space="preserve">requiredInput</w:t>
      </w:r>
      <w:r>
        <w:t xml:space="preserve">.</w:t>
      </w:r>
    </w:p>
    <w:p>
      <w:pPr>
        <w:pStyle w:val="FirstParagraph"/>
      </w:pPr>
      <w:r>
        <w:t xml:space="preserve">После отправки страница собирает входной массив, приводит значения к типам схемы и вызывает</w:t>
      </w:r>
      <w:r>
        <w:t xml:space="preserve"> </w:t>
      </w:r>
      <w:r>
        <w:rPr>
          <w:rStyle w:val="VerbatimChar"/>
        </w:rPr>
        <w:t xml:space="preserve">AI::InvokeTool($toolId, $input, $options)</w:t>
      </w:r>
      <w:r>
        <w:t xml:space="preserve">. Результат работы инструмента выводится JSON-блоком в раскрытом по умолчанию спойлере</w:t>
      </w:r>
      <w:r>
        <w:t xml:space="preserve"> </w:t>
      </w:r>
      <w:r>
        <w:t xml:space="preserve">“Результат выполнения”</w:t>
      </w:r>
      <w:r>
        <w:t xml:space="preserve">. Если значение поля</w:t>
      </w:r>
      <w:r>
        <w:t xml:space="preserve"> </w:t>
      </w:r>
      <w:r>
        <w:rPr>
          <w:rStyle w:val="VerbatimChar"/>
        </w:rPr>
        <w:t xml:space="preserve">array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object</w:t>
      </w:r>
      <w:r>
        <w:t xml:space="preserve"> </w:t>
      </w:r>
      <w:r>
        <w:t xml:space="preserve">заполнено некорректным JSON, страница возвращает ошибку</w:t>
      </w:r>
      <w:r>
        <w:t xml:space="preserve"> </w:t>
      </w:r>
      <w:r>
        <w:rPr>
          <w:rStyle w:val="VerbatimChar"/>
        </w:rPr>
        <w:t xml:space="preserve">AI_UI_INPUT_INVALID</w:t>
      </w:r>
      <w:r>
        <w:t xml:space="preserve"> </w:t>
      </w:r>
      <w:r>
        <w:t xml:space="preserve">с перечнем полей.</w:t>
      </w:r>
    </w:p>
    <w:p>
      <w:pPr>
        <w:pStyle w:val="BodyText"/>
      </w:pPr>
      <w:r>
        <w:t xml:space="preserve">Флаг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 </w:t>
      </w:r>
      <w:r>
        <w:t xml:space="preserve">включает фактическое диагностическое выполнение; без него отправляется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. Для инструментов чтения этот флаг включен по умолчанию, для инструментов с побочными эффектами администратор должен включить его явно. Флаги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allowQueueTask</w:t>
      </w:r>
      <w:r>
        <w:t xml:space="preserve"> </w:t>
      </w:r>
      <w:r>
        <w:t xml:space="preserve">по-прежнему нужны для операций, которые создают AI-черновик или ставят задачу в Queue.</w:t>
      </w:r>
    </w:p>
    <w:p>
      <w:pPr>
        <w:pStyle w:val="BodyText"/>
      </w:pPr>
      <w:r>
        <w:t xml:space="preserve">Нельзя использовать страницу как обход прав. Каждый инструмент проходит общий pipeline: schema gate, проверка прав, политика, audit, исполнение и нормализация</w:t>
      </w:r>
      <w:r>
        <w:t xml:space="preserve"> </w:t>
      </w:r>
      <w:r>
        <w:rPr>
          <w:rStyle w:val="VerbatimChar"/>
        </w:rPr>
        <w:t xml:space="preserve">resultMeta</w:t>
      </w:r>
      <w:r>
        <w:t xml:space="preserve">. Write-инструменты не должны напрямую изменять целевую БД.</w:t>
      </w:r>
    </w:p>
    <w:bookmarkEnd w:id="14"/>
    <w:bookmarkStart w:id="15" w:name="aireviews"/>
    <w:p>
      <w:pPr>
        <w:pStyle w:val="Heading2"/>
      </w:pPr>
      <w:r>
        <w:t xml:space="preserve">7. AI/Reviews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?id=AI/Reviews</w:t>
      </w:r>
      <w:r>
        <w:t xml:space="preserve">.</w:t>
      </w:r>
    </w:p>
    <w:p>
      <w:pPr>
        <w:pStyle w:val="BodyText"/>
      </w:pPr>
      <w:r>
        <w:t xml:space="preserve">Страница предназначена для ручной проверки AI-действий. Для нее используется полноэкранный рабочий интерфейс: слева находится очередь review-задач, справа - выбранная задача с данными черновика, комментарием и кнопками решения. Если</w:t>
      </w:r>
      <w:r>
        <w:t xml:space="preserve"> </w:t>
      </w:r>
      <w:r>
        <w:rPr>
          <w:rStyle w:val="VerbatimChar"/>
        </w:rPr>
        <w:t xml:space="preserve">reviewId</w:t>
      </w:r>
      <w:r>
        <w:t xml:space="preserve"> </w:t>
      </w:r>
      <w:r>
        <w:t xml:space="preserve">не передан, страница автоматически открывает первую задачу из списка.</w:t>
      </w:r>
    </w:p>
    <w:p>
      <w:pPr>
        <w:pStyle w:val="BodyText"/>
      </w:pPr>
      <w:r>
        <w:t xml:space="preserve">Левая очередь фильтруется по состоянию проверки. По умолчанию выбран фильтр</w:t>
      </w:r>
      <w:r>
        <w:t xml:space="preserve"> </w:t>
      </w:r>
      <w:r>
        <w:t xml:space="preserve">“Без решения”</w:t>
      </w:r>
      <w:r>
        <w:t xml:space="preserve"> </w:t>
      </w:r>
      <w:r>
        <w:t xml:space="preserve">(</w:t>
      </w:r>
      <w:r>
        <w:rPr>
          <w:rStyle w:val="VerbatimChar"/>
        </w:rPr>
        <w:t xml:space="preserve">pending</w:t>
      </w:r>
      <w:r>
        <w:t xml:space="preserve">), поэтому пользователь видит только review-задачи, по которым еще не принято решение. Также доступны фильтры для утвержденных, отклоненных, отправленных на исправление и всех задач.</w:t>
      </w:r>
    </w:p>
    <w:p>
      <w:pPr>
        <w:pStyle w:val="BodyText"/>
      </w:pPr>
      <w:r>
        <w:t xml:space="preserve">Правая область показывает цель, риск, target, idempotency key, связанный AI-черновик, источники, diff и текущее решение. Форма решения или применения черновика выводится в верхней части карточки, чтобы проверяющий не прокручивал технические блоки перед принятием решения.</w:t>
      </w:r>
    </w:p>
    <w:p>
      <w:pPr>
        <w:pStyle w:val="BodyText"/>
      </w:pPr>
      <w:r>
        <w:t xml:space="preserve">Полный JSON review-задачи и черновика остается доступен в технических спойлерах. Основной экран не требует читать JSON для штатной проверки.</w:t>
      </w:r>
    </w:p>
    <w:p>
      <w:pPr>
        <w:pStyle w:val="BodyText"/>
      </w:pPr>
      <w:r>
        <w:t xml:space="preserve">Для задачи в статусе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 </w:t>
      </w:r>
      <w:r>
        <w:t xml:space="preserve">доступна форма решения: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утвердить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отклонить действие;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отметить необходимость коррекции;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comment</w:t>
      </w:r>
      <w:r>
        <w:t xml:space="preserve"> </w:t>
      </w:r>
      <w:r>
        <w:t xml:space="preserve">- комментарий пользователя.</w:t>
      </w:r>
    </w:p>
    <w:p>
      <w:pPr>
        <w:pStyle w:val="FirstParagraph"/>
      </w:pPr>
      <w:r>
        <w:t xml:space="preserve">Форма применения черновика появляется только для approved review с</w:t>
      </w:r>
      <w:r>
        <w:t xml:space="preserve"> </w:t>
      </w:r>
      <w:r>
        <w:rPr>
          <w:rStyle w:val="VerbatimChar"/>
        </w:rPr>
        <w:t xml:space="preserve">targetType=draft</w:t>
      </w:r>
      <w:r>
        <w:t xml:space="preserve">. По умолчанию включен режим</w:t>
      </w:r>
      <w:r>
        <w:t xml:space="preserve"> </w:t>
      </w:r>
      <w:r>
        <w:t xml:space="preserve">“Проверить без записи в БД”</w:t>
      </w:r>
      <w:r>
        <w:t xml:space="preserve">: он передает</w:t>
      </w:r>
      <w:r>
        <w:t xml:space="preserve"> </w:t>
      </w:r>
      <w:r>
        <w:rPr>
          <w:rStyle w:val="VerbatimChar"/>
        </w:rPr>
        <w:t xml:space="preserve">dryRun=true</w:t>
      </w:r>
      <w:r>
        <w:t xml:space="preserve"> </w:t>
      </w:r>
      <w:r>
        <w:t xml:space="preserve">и проходит проверки без записи в целевую БД. Фактическое применение требует снять dry-run и явно разрешить запись. При применении вызывается</w:t>
      </w:r>
      <w:r>
        <w:t xml:space="preserve"> </w:t>
      </w:r>
      <w:r>
        <w:rPr>
          <w:rStyle w:val="VerbatimChar"/>
        </w:rPr>
        <w:t xml:space="preserve">AI::ApplyDraft()</w:t>
      </w:r>
      <w:r>
        <w:t xml:space="preserve">: проверяются владелец черновика, approved review, совпадение target, idempotency key,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БД, затем запись сохраняется штатным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BodyText"/>
      </w:pPr>
      <w:r>
        <w:t xml:space="preserve">Для ИМИДЖ-сценария черновик не создает новую запись и не переносит данные в другую БД. Он содержит полное предлагаемое состояние исходной записи и дополняет только отсутствующие библиографические поля в той же БД и с тем же MFN. В карточке проверки рядом показываются изображения лицевой и оборотной стороны, исходный распознанный текст, отдельная реконструкция для AI-разбора, добавляемые поля, источник evidence, сохраненные существующие значения и возможные дубли. Реконструкция не записывается в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. Перед фактическим применением дополнительно проверяется версия исходной записи; если другой пользователь успел ее изменить, черновик блокируется и должен быть сформирован заново.</w:t>
      </w:r>
    </w:p>
    <w:p>
      <w:pPr>
        <w:pStyle w:val="BodyText"/>
      </w:pPr>
      <w:r>
        <w:t xml:space="preserve">Отдельный нижний список всех AI-черновиков на странице не выводится: он мешал рабочему сценарию проверки. Черновик открывается в контексте выбранной review-задачи. Черновик со статусом</w:t>
      </w:r>
      <w:r>
        <w:t xml:space="preserve"> </w:t>
      </w:r>
      <w:r>
        <w:rPr>
          <w:rStyle w:val="VerbatimChar"/>
        </w:rPr>
        <w:t xml:space="preserve">applied</w:t>
      </w:r>
      <w:r>
        <w:t xml:space="preserve"> </w:t>
      </w:r>
      <w:r>
        <w:t xml:space="preserve">повторно применяется только идемпотентно с тем же ключом; повтор с другим ключом должен блокироваться.</w:t>
      </w:r>
    </w:p>
    <w:bookmarkEnd w:id="15"/>
    <w:bookmarkStart w:id="16" w:name="aiagent"/>
    <w:p>
      <w:pPr>
        <w:pStyle w:val="Heading2"/>
      </w:pPr>
      <w:r>
        <w:t xml:space="preserve">8. AI/Agent</w:t>
      </w:r>
    </w:p>
    <w:p>
      <w:pPr>
        <w:pStyle w:val="FirstParagraph"/>
      </w:pPr>
      <w:r>
        <w:t xml:space="preserve">Адрес:</w:t>
      </w:r>
      <w:r>
        <w:t xml:space="preserve"> </w:t>
      </w:r>
      <w:r>
        <w:rPr>
          <w:rStyle w:val="VerbatimChar"/>
        </w:rPr>
        <w:t xml:space="preserve">?id=AI/Agent</w:t>
      </w:r>
      <w:r>
        <w:t xml:space="preserve">.</w:t>
      </w:r>
    </w:p>
    <w:p>
      <w:pPr>
        <w:pStyle w:val="BodyText"/>
      </w:pPr>
      <w:r>
        <w:t xml:space="preserve">Страница управляет агентными сессиями и не входит в общую навигацию рабочих AI-страниц. Штатный вход для администратора - кнопка</w:t>
      </w:r>
      <w:r>
        <w:t xml:space="preserve"> </w:t>
      </w:r>
      <w:r>
        <w:t xml:space="preserve">“Консоль агентных сессий AI”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Блок</w:t>
      </w:r>
      <w:r>
        <w:t xml:space="preserve"> </w:t>
      </w:r>
      <w:r>
        <w:t xml:space="preserve">“Новая сессия”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scenario</w:t>
      </w:r>
      <w:r>
        <w:t xml:space="preserve"> </w:t>
      </w:r>
      <w:r>
        <w:t xml:space="preserve">- идентификатор сценария, например</w:t>
      </w:r>
      <w:r>
        <w:t xml:space="preserve"> </w:t>
      </w:r>
      <w:r>
        <w:rPr>
          <w:rStyle w:val="VerbatimChar"/>
        </w:rPr>
        <w:t xml:space="preserve">manual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goal</w:t>
      </w:r>
      <w:r>
        <w:t xml:space="preserve"> </w:t>
      </w:r>
      <w:r>
        <w:t xml:space="preserve">- цель сессии.</w:t>
      </w:r>
    </w:p>
    <w:p>
      <w:pPr>
        <w:pStyle w:val="FirstParagraph"/>
      </w:pPr>
      <w:r>
        <w:t xml:space="preserve">После создания вызывается</w:t>
      </w:r>
      <w:r>
        <w:t xml:space="preserve"> </w:t>
      </w:r>
      <w:r>
        <w:rPr>
          <w:rStyle w:val="VerbatimChar"/>
        </w:rPr>
        <w:t xml:space="preserve">AI::CreateAgentSession()</w:t>
      </w:r>
      <w:r>
        <w:t xml:space="preserve">. В блоке</w:t>
      </w:r>
      <w:r>
        <w:t xml:space="preserve"> </w:t>
      </w:r>
      <w:r>
        <w:t xml:space="preserve">“Сессии”</w:t>
      </w:r>
      <w:r>
        <w:t xml:space="preserve"> </w:t>
      </w:r>
      <w:r>
        <w:t xml:space="preserve">выводятся статус, сценарий, выбранная модель, время обновления и ссылка на открытие сессии. Для открытой сессии показывается полный JSON сессии, шагов и памяти.</w:t>
      </w:r>
    </w:p>
    <w:p>
      <w:pPr>
        <w:pStyle w:val="BodyText"/>
      </w:pPr>
      <w:r>
        <w:t xml:space="preserve">Доступные действия открытой сессии:</w:t>
      </w:r>
    </w:p>
    <w:p>
      <w:pPr>
        <w:pStyle w:val="Compact"/>
        <w:numPr>
          <w:ilvl w:val="0"/>
          <w:numId w:val="1006"/>
        </w:numPr>
      </w:pPr>
      <w:r>
        <w:t xml:space="preserve">“Выполнить следующий шаг”</w:t>
      </w:r>
      <w:r>
        <w:t xml:space="preserve"> </w:t>
      </w:r>
      <w:r>
        <w:t xml:space="preserve">- вызывает</w:t>
      </w:r>
      <w:r>
        <w:t xml:space="preserve"> </w:t>
      </w:r>
      <w:r>
        <w:rPr>
          <w:rStyle w:val="VerbatimChar"/>
        </w:rPr>
        <w:t xml:space="preserve">AI::ExecuteAgentStep()</w:t>
      </w:r>
      <w:r>
        <w:t xml:space="preserve">, по умолчанию с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“Пауза”</w:t>
      </w:r>
      <w:r>
        <w:t xml:space="preserve"> </w:t>
      </w:r>
      <w:r>
        <w:t xml:space="preserve">- переводит сессию в паузу;</w:t>
      </w:r>
    </w:p>
    <w:p>
      <w:pPr>
        <w:pStyle w:val="Compact"/>
        <w:numPr>
          <w:ilvl w:val="0"/>
          <w:numId w:val="1006"/>
        </w:numPr>
      </w:pPr>
      <w:r>
        <w:t xml:space="preserve">“Возобновить”</w:t>
      </w:r>
      <w:r>
        <w:t xml:space="preserve"> </w:t>
      </w:r>
      <w:r>
        <w:t xml:space="preserve">- снимает паузу;</w:t>
      </w:r>
    </w:p>
    <w:p>
      <w:pPr>
        <w:pStyle w:val="Compact"/>
        <w:numPr>
          <w:ilvl w:val="0"/>
          <w:numId w:val="1006"/>
        </w:numPr>
      </w:pPr>
      <w:r>
        <w:t xml:space="preserve">“Архивировать”</w:t>
      </w:r>
      <w:r>
        <w:t xml:space="preserve"> </w:t>
      </w:r>
      <w:r>
        <w:t xml:space="preserve">- завершает сессию с текстовым итогом.</w:t>
      </w:r>
    </w:p>
    <w:p>
      <w:pPr>
        <w:pStyle w:val="FirstParagraph"/>
      </w:pPr>
      <w:r>
        <w:t xml:space="preserve">Если шаг создает review-задачу, агент должен остановиться в состоянии ожидания подтверждения. Применение результата выполняется не на странице агента, а через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bookmarkEnd w:id="16"/>
    <w:bookmarkStart w:id="17" w:name="сценарий-имидж-в-арм-каталогизатор"/>
    <w:p>
      <w:pPr>
        <w:pStyle w:val="Heading2"/>
      </w:pPr>
      <w:r>
        <w:t xml:space="preserve">9. Сценарий ИМИДЖ в АРМ Каталогизатор</w:t>
      </w:r>
    </w:p>
    <w:p>
      <w:pPr>
        <w:pStyle w:val="FirstParagraph"/>
      </w:pPr>
      <w:r>
        <w:t xml:space="preserve">Пользователь выбирает запись в БД, разрешенной профилем</w:t>
      </w:r>
      <w:r>
        <w:t xml:space="preserve"> </w:t>
      </w:r>
      <w:r>
        <w:rPr>
          <w:rStyle w:val="VerbatimChar"/>
        </w:rPr>
        <w:t xml:space="preserve">imageCatalog.default</w:t>
      </w:r>
      <w:r>
        <w:t xml:space="preserve">, и нажимает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начале панели действий списка. DBN и MFN берутся из текущей записи автоматически; техническая страница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больше не используется.</w:t>
      </w:r>
    </w:p>
    <w:p>
      <w:pPr>
        <w:pStyle w:val="BodyText"/>
      </w:pPr>
      <w:r>
        <w:t xml:space="preserve">Действие немедленно ставит подписанную задачу</w:t>
      </w:r>
      <w:r>
        <w:t xml:space="preserve"> </w:t>
      </w:r>
      <w:r>
        <w:rPr>
          <w:rStyle w:val="VerbatimChar"/>
        </w:rPr>
        <w:t xml:space="preserve">AI/CreateImageCatalogDraftQueue</w:t>
      </w:r>
      <w:r>
        <w:t xml:space="preserve"> </w:t>
      </w:r>
      <w:r>
        <w:t xml:space="preserve">в Queue и открывает штатный монитор. Worker вызывает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reviewOnIssuesOnly=false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allowDraftWrite=true</w:t>
      </w:r>
      <w:r>
        <w:t xml:space="preserve">; в прогрессе отдельно отображаются сбор кандидатов, контролируемая реконструкция OCR, classification, extraction, verifier, evidence mapping, поиск дублей, draft и review. Инструмент собирает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принятые OCR-артефакты, восстанавливает читаемую структуру без изменения исходных полей, определяет рабочий лист, извлекает библиографические элементы локальной JSON-моделью и независимыми правилами и подтверждает значения конкретными исходными OCR-кандидатами. Цель черновика всегда совпадает с источником: та же БД и тот же MFN. Существующие поля изображения и уже заполненные библиографические значения сохраняются.</w:t>
      </w:r>
    </w:p>
    <w:p>
      <w:pPr>
        <w:pStyle w:val="BodyText"/>
      </w:pPr>
      <w:r>
        <w:t xml:space="preserve">После завершения Queue короткий</w:t>
      </w:r>
      <w:r>
        <w:t xml:space="preserve"> </w:t>
      </w:r>
      <w:r>
        <w:rPr>
          <w:rStyle w:val="VerbatimChar"/>
        </w:rPr>
        <w:t xml:space="preserve">AI/OpenImageCatalogDraft</w:t>
      </w:r>
      <w:r>
        <w:t xml:space="preserve"> </w:t>
      </w:r>
      <w:r>
        <w:t xml:space="preserve">под текущей сессией проверяет владельца и открывает модальное ExtJS-окно именно текущей операции. Оно показывает DBN/MFN, определенный тип и его основание, базовую версию записи, этапы pipeline, использованную модель или fallback, результат реконструкции, confidence/evidence, идентификатор OCR-кандидата, OCR-зону и строки каждого поля, обе стороны карточки, исходный и восстановленный тексты, предупреждения и возможные дубли.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уже предложенных значений; при approval исправления применяются к draft и сохраняются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одним явно подтвержденным действием утверждает review и вызывает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с записью в ту же запись;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оставляет запись без изменений. Повторный запуск для неизменившейся записи переиспользует существующий черновик и review-задачу.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повторный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Queue и заменяет окно после готовности новой review-операции; прежний черновик не удаляется.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показывает штатный монитор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запускает FT OCR v2: preprocessing 2x, варианты</w:t>
      </w:r>
      <w:r>
        <w:t xml:space="preserve"> </w:t>
      </w:r>
      <w:r>
        <w:rPr>
          <w:rStyle w:val="VerbatimChar"/>
        </w:rPr>
        <w:t xml:space="preserve">PSM 3/4/6/11</w:t>
      </w:r>
      <w:r>
        <w:t xml:space="preserve">, языковые кандидаты и сравнение с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. Новый текст заменяет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только при улучшении, низкокачественная сторона может быть пропущена; manifest v2 хранит метрики, решение, кандидатов и валидный координатный TSV. После проверки ставится создание нового черновика. Общая страница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остается доступной для очереди и расширенной диагностики review-задач, но для штатного ИМИДЖ-сценария переход на нее не требуется.</w:t>
      </w:r>
    </w:p>
    <w:bookmarkEnd w:id="17"/>
    <w:bookmarkStart w:id="18" w:name="связанные-help-разделы"/>
    <w:p>
      <w:pPr>
        <w:pStyle w:val="Heading2"/>
      </w:pPr>
      <w:r>
        <w:t xml:space="preserve">10. Связанные Help-разделы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?id=Help/Show&amp;m=AI/Help/UserGuide/index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07"/>
        </w:numPr>
      </w:pPr>
      <w:r>
        <w:t xml:space="preserve">?id=Help/Show&amp;m=AI/Help/DeveloperGuide/index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AI</dc:title>
  <dc:creator/>
  <cp:keywords/>
  <dcterms:created xsi:type="dcterms:W3CDTF">2026-10-02T15:04:33Z</dcterms:created>
  <dcterms:modified xsi:type="dcterms:W3CDTF">2026-10-02T15:04:33Z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