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 настройки локального OpenAI-compatible runtime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3568186580d3e19fd51c07d1e3c968e46fb7706"/>
    <w:p>
      <w:pPr>
        <w:pStyle w:val="Heading1"/>
      </w:pPr>
      <w:r>
        <w:t xml:space="preserve">Пример настройки локального OpenAI-compatible runtime</w:t>
      </w:r>
    </w:p>
    <w:p>
      <w:pPr>
        <w:pStyle w:val="FirstParagraph"/>
      </w:pPr>
      <w:r>
        <w:t xml:space="preserve">Этот пример подходит для локального runtime, который предоставляет API, совместимый с OpenAI Chat Completions, по адресу вида</w:t>
      </w:r>
      <w:r>
        <w:t xml:space="preserve"> </w:t>
      </w:r>
      <w:r>
        <w:rPr>
          <w:rStyle w:val="VerbatimChar"/>
        </w:rPr>
        <w:t xml:space="preserve">http://127.0.0.1:&lt;порт&gt;/v1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http://&lt;локальный-сервер&gt;:&lt;порт&gt;/v1</w:t>
      </w:r>
      <w:r>
        <w:t xml:space="preserve">. Конкретный runtime может быть любым, если он принимает запросы в ожидаемом формате и не требует передачи данных во внешнее облако.</w:t>
      </w:r>
    </w:p>
    <w:bookmarkStart w:id="9" w:name="определить-endpoint-и-model-id"/>
    <w:p>
      <w:pPr>
        <w:pStyle w:val="Heading2"/>
      </w:pPr>
      <w:r>
        <w:t xml:space="preserve">1. 1. Определить endpoint и model id</w:t>
      </w:r>
    </w:p>
    <w:p>
      <w:pPr>
        <w:pStyle w:val="FirstParagraph"/>
      </w:pPr>
      <w:r>
        <w:t xml:space="preserve">До настройки ИРБИС 128 нужно знать:</w:t>
      </w:r>
    </w:p>
    <w:p>
      <w:pPr>
        <w:pStyle w:val="Compact"/>
        <w:numPr>
          <w:ilvl w:val="0"/>
          <w:numId w:val="1001"/>
        </w:numPr>
      </w:pPr>
      <w:r>
        <w:t xml:space="preserve">endpoint API, например</w:t>
      </w:r>
      <w:r>
        <w:t xml:space="preserve"> </w:t>
      </w:r>
      <w:r>
        <w:rPr>
          <w:rStyle w:val="VerbatimChar"/>
        </w:rPr>
        <w:t xml:space="preserve">http://127.0.0.1:1234/v1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точный ID модели, который runtime ожидает в запросе;</w:t>
      </w:r>
    </w:p>
    <w:p>
      <w:pPr>
        <w:pStyle w:val="Compact"/>
        <w:numPr>
          <w:ilvl w:val="0"/>
          <w:numId w:val="1001"/>
        </w:numPr>
      </w:pPr>
      <w:r>
        <w:t xml:space="preserve">поддерживает ли runtime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поддерживает ли выбранная модель JSON-ответы, streaming, tools или embeddings.</w:t>
      </w:r>
    </w:p>
    <w:p>
      <w:pPr>
        <w:pStyle w:val="FirstParagraph"/>
      </w:pPr>
      <w:r>
        <w:t xml:space="preserve">Если runtime расположен на другом узле локальной сети, endpoint должен быть доступен только из защищенного внутреннего контура. Не помечайте такой provider как внешний, если данные не покидают контролируемую инфраструктуру организации.</w:t>
      </w:r>
    </w:p>
    <w:bookmarkEnd w:id="9"/>
    <w:bookmarkStart w:id="10" w:name="настроить-provider"/>
    <w:p>
      <w:pPr>
        <w:pStyle w:val="Heading2"/>
      </w:pPr>
      <w:r>
        <w:t xml:space="preserve">2. 2. Настроить provider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local-openai-compatible</w:t>
            </w:r>
            <w:r>
              <w:t xml:space="preserve"> </w:t>
            </w:r>
            <w:r>
              <w:t xml:space="preserve">или другой стабильный 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Endpoint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http://127.0.0.1:1234/v1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задайте минимальный подтвержденный набор. Для обычного текстового запроса достаточно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Не включайте</w:t>
      </w:r>
      <w:r>
        <w:t xml:space="preserve"> </w:t>
      </w: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 </w:t>
      </w:r>
      <w:r>
        <w:t xml:space="preserve">или</w:t>
      </w:r>
      <w:r>
        <w:t xml:space="preserve"> </w:t>
      </w:r>
      <w:r>
        <w:t xml:space="preserve">“Streaming”</w:t>
      </w:r>
      <w:r>
        <w:t xml:space="preserve"> </w:t>
      </w:r>
      <w:r>
        <w:t xml:space="preserve">только потому, что они есть в интерфейсе: эти признаки должны соответствовать реальной поддержке runtime и модели.</w:t>
      </w:r>
    </w:p>
    <w:p>
      <w:pPr>
        <w:pStyle w:val="BodyText"/>
      </w:pPr>
      <w:r>
        <w:t xml:space="preserve">Если runtime поддерживает список моделей, 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указать: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10"/>
    <w:bookmarkStart w:id="11" w:name="настроить-модель"/>
    <w:p>
      <w:pPr>
        <w:pStyle w:val="Heading2"/>
      </w:pPr>
      <w:r>
        <w:t xml:space="preserve">3. 3. Настроить модель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ID provider из записи</w:t>
            </w:r>
            <w:r>
              <w:t xml:space="preserve"> </w:t>
            </w:r>
            <w:r>
              <w:t xml:space="preserve">“Поставщики AI”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 только то, что проверено. Если сценарии требуют структурированный ответ, отдельно проверьте</w:t>
      </w:r>
      <w:r>
        <w:t xml:space="preserve"> </w:t>
      </w:r>
      <w:r>
        <w:t xml:space="preserve">“JSON”</w:t>
      </w:r>
      <w:r>
        <w:t xml:space="preserve">. Если модель не держит JSON-формат, оставьте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выключенным и не используйте ее для сценариев, которым нужен структурированный draft.</w:t>
      </w:r>
    </w:p>
    <w:bookmarkEnd w:id="11"/>
    <w:bookmarkStart w:id="12" w:name="настроить-ai"/>
    <w:p>
      <w:pPr>
        <w:pStyle w:val="Heading2"/>
      </w:pPr>
      <w:r>
        <w:t xml:space="preserve">4. 4. Настроить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t xml:space="preserve">Включите</w:t>
      </w:r>
      <w:r>
        <w:t xml:space="preserve"> </w:t>
      </w:r>
      <w:r>
        <w:t xml:space="preserve">“Разрешить локальные модели”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Оставьте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выключенным.</w:t>
      </w:r>
    </w:p>
    <w:p>
      <w:pPr>
        <w:pStyle w:val="Compact"/>
        <w:numPr>
          <w:ilvl w:val="0"/>
          <w:numId w:val="1002"/>
        </w:numPr>
      </w:pPr>
      <w:r>
        <w:t xml:space="preserve">Укажите</w:t>
      </w:r>
      <w:r>
        <w:t xml:space="preserve"> </w:t>
      </w:r>
      <w:r>
        <w:t xml:space="preserve">“OpenAI-compatible endpoint локальной среды”</w:t>
      </w:r>
      <w:r>
        <w:t xml:space="preserve">, если этот runtime должен быть локальным endpoint по умолчанию.</w:t>
      </w:r>
    </w:p>
    <w:p>
      <w:pPr>
        <w:pStyle w:val="Compact"/>
        <w:numPr>
          <w:ilvl w:val="0"/>
          <w:numId w:val="1002"/>
        </w:numPr>
      </w:pPr>
      <w:r>
        <w:t xml:space="preserve">Оставьте</w:t>
      </w:r>
      <w:r>
        <w:t xml:space="preserve"> </w:t>
      </w:r>
      <w:r>
        <w:t xml:space="preserve">“Класс данных по умолчанию”</w:t>
      </w:r>
      <w:r>
        <w:t xml:space="preserve"> </w:t>
      </w:r>
      <w:r>
        <w:t xml:space="preserve">равным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 лимиты prompt/system/max tokens.</w:t>
      </w:r>
    </w:p>
    <w:p>
      <w:pPr>
        <w:pStyle w:val="FirstParagraph"/>
      </w:pPr>
      <w:r>
        <w:t xml:space="preserve">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можно включать только после успешной диагностики. До этого используйте</w:t>
      </w:r>
      <w:r>
        <w:t xml:space="preserve"> </w:t>
      </w:r>
      <w:r>
        <w:t xml:space="preserve">“диагностический режим”</w:t>
      </w:r>
      <w:r>
        <w:t xml:space="preserve"> </w:t>
      </w:r>
      <w:r>
        <w:t xml:space="preserve">на страницах AI.</w:t>
      </w:r>
    </w:p>
    <w:bookmarkEnd w:id="12"/>
    <w:bookmarkStart w:id="13" w:name="проверить-через-diagnostics"/>
    <w:p>
      <w:pPr>
        <w:pStyle w:val="Heading2"/>
      </w:pPr>
      <w:r>
        <w:t xml:space="preserve">5. 5. Проверить через Diagnostics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BodyText"/>
      </w:pPr>
      <w:r>
        <w:t xml:space="preserve">Сначала выполните проверку provider. Она не делает сетевой вызов и показывает, как профиль прочитан модулем.</w:t>
      </w:r>
    </w:p>
    <w:p>
      <w:pPr>
        <w:pStyle w:val="BodyText"/>
      </w:pPr>
      <w:r>
        <w:t xml:space="preserve">Затем 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"local-openai-compatible"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"local-model-id"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Замените</w:t>
      </w:r>
      <w:r>
        <w:t xml:space="preserve"> </w:t>
      </w:r>
      <w:r>
        <w:rPr>
          <w:rStyle w:val="VerbatimChar"/>
        </w:rPr>
        <w:t xml:space="preserve">local-model-id</w:t>
      </w:r>
      <w:r>
        <w:t xml:space="preserve"> </w:t>
      </w:r>
      <w:r>
        <w:t xml:space="preserve">на фактический ID модели. Если JSON не нужен, оставьте только</w:t>
      </w:r>
      <w:r>
        <w:t xml:space="preserve"> </w:t>
      </w:r>
      <w:r>
        <w:rPr>
          <w:rStyle w:val="VerbatimChar"/>
        </w:rPr>
        <w:t xml:space="preserve">text</w:t>
      </w:r>
      <w:r>
        <w:t xml:space="preserve">.</w:t>
      </w:r>
    </w:p>
    <w:bookmarkEnd w:id="13"/>
    <w:bookmarkStart w:id="14" w:name="проверить-реальный-вызов"/>
    <w:p>
      <w:pPr>
        <w:pStyle w:val="Heading2"/>
      </w:pPr>
      <w:r>
        <w:t xml:space="preserve">6. 6. Проверить реальный вызов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3"/>
        </w:numPr>
      </w:pPr>
      <w:r>
        <w:t xml:space="preserve">Сначала 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После успешного dry-run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runtime не вызывается, проверьте настройку</w:t>
      </w:r>
      <w:r>
        <w:t xml:space="preserve"> </w:t>
      </w:r>
      <w:r>
        <w:t xml:space="preserve">“Сетевой вызов по умолчанию”</w:t>
      </w:r>
      <w:r>
        <w:t xml:space="preserve">: OpenAI-compatible adapter не выполняет HTTP-запрос без явного разрешения сетевого вызова.</w:t>
      </w:r>
    </w:p>
    <w:bookmarkEnd w:id="14"/>
    <w:bookmarkStart w:id="15" w:name="проверить-закрытый-контур"/>
    <w:p>
      <w:pPr>
        <w:pStyle w:val="Heading2"/>
      </w:pPr>
      <w:r>
        <w:t xml:space="preserve">7. 7. Проверить закрытый контур</w:t>
      </w:r>
    </w:p>
    <w:p>
      <w:pPr>
        <w:pStyle w:val="FirstParagraph"/>
      </w:pPr>
      <w:r>
        <w:t xml:space="preserve">После успешного ответа проверьте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выбранной модели должно быть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offline=true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отчете внешней передачи не должно быть успешных передач во внешний provider.</w:t>
      </w:r>
    </w:p>
    <w:p>
      <w:pPr>
        <w:pStyle w:val="Compact"/>
        <w:numPr>
          <w:ilvl w:val="0"/>
          <w:numId w:val="1004"/>
        </w:numPr>
      </w:pPr>
      <w:r>
        <w:t xml:space="preserve">В audit не должны отображаться секреты.</w:t>
      </w:r>
    </w:p>
    <w:p>
      <w:pPr>
        <w:pStyle w:val="Compact"/>
        <w:numPr>
          <w:ilvl w:val="0"/>
          <w:numId w:val="1004"/>
        </w:numPr>
      </w:pPr>
      <w:r>
        <w:t xml:space="preserve">При политике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внешний fallback должен быть запрещен.</w:t>
      </w:r>
    </w:p>
    <w:p>
      <w:pPr>
        <w:pStyle w:val="FirstParagraph"/>
      </w:pPr>
      <w:r>
        <w:t xml:space="preserve">Если для runtime нужен API-ключ, храните его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через штатную настройку секретов, а не в endpoint и не в Help-тексте.</w:t>
      </w:r>
    </w:p>
    <w:bookmarkEnd w:id="15"/>
    <w:bookmarkStart w:id="16" w:name="передача-пользователям"/>
    <w:p>
      <w:pPr>
        <w:pStyle w:val="Heading2"/>
      </w:pPr>
      <w:r>
        <w:t xml:space="preserve">8. 8. Передача пользователям</w:t>
      </w:r>
    </w:p>
    <w:p>
      <w:pPr>
        <w:pStyle w:val="FirstParagraph"/>
      </w:pPr>
      <w:r>
        <w:t xml:space="preserve">Перед тем как открыть сценарий пользователям: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“Включить модуль AI”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</w:t>
      </w:r>
    </w:p>
    <w:p>
      <w:pPr>
        <w:pStyle w:val="Compact"/>
        <w:numPr>
          <w:ilvl w:val="0"/>
          <w:numId w:val="1005"/>
        </w:numPr>
      </w:pPr>
      <w:r>
        <w:t xml:space="preserve">Проверьте права на рабочие страницы AI.</w:t>
      </w:r>
    </w:p>
    <w:p>
      <w:pPr>
        <w:pStyle w:val="Compact"/>
        <w:numPr>
          <w:ilvl w:val="0"/>
          <w:numId w:val="1005"/>
        </w:numPr>
      </w:pPr>
      <w:r>
        <w:t xml:space="preserve">Для сценариев с черновиками проверьте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запускает стартовый сценарий.</w:t>
      </w:r>
    </w:p>
    <w:p>
      <w:pPr>
        <w:pStyle w:val="Compact"/>
        <w:numPr>
          <w:ilvl w:val="0"/>
          <w:numId w:val="1005"/>
        </w:numPr>
      </w:pPr>
      <w:r>
        <w:t xml:space="preserve">Не включайте</w:t>
      </w:r>
      <w:r>
        <w:t xml:space="preserve"> </w:t>
      </w:r>
      <w:r>
        <w:t xml:space="preserve">“Разрешить внешние модели”</w:t>
      </w:r>
      <w:r>
        <w:t xml:space="preserve">, если эксплуатационный контур должен оставаться локальным.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настройки локального OpenAI-compatible runtime</dc:title>
  <dc:creator/>
  <cp:keywords/>
  <dcterms:created xsi:type="dcterms:W3CDTF">2026-10-07T17:36:53Z</dcterms:created>
  <dcterms:modified xsi:type="dcterms:W3CDTF">2026-10-07T17:36:53Z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