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[I128-2555] DP_Irbis64Native открывает потоковый обход MFN для операций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ba7ae8fa1968d5a04cfdf942f2c6f89bb25923d"/>
    <w:p>
      <w:pPr>
        <w:pStyle w:val="Heading1"/>
      </w:pPr>
      <w:r>
        <w:t xml:space="preserve">[I128-2555] DP_Irbis64Native открывает потоковый обход MFN для операций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11:25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доступ к потоковому обходу существующих MFN и XRF</w:t>
      </w:r>
      <w:r>
        <w:t xml:space="preserve">ссылок через основной объект провайдера.</w:t>
      </w:r>
    </w:p>
    <w:p>
      <w:pPr>
        <w:pStyle w:val="BodyText"/>
      </w:pPr>
      <w:r>
        <w:t xml:space="preserve">После этого будущие операции импорта, объединения, диагностики и экспорта смогут использовать единый API провайдера, не обращаясь напрямую к внутреннему MstSpace. Для администратора это означает более предсказуемое поведение больших операций: обработка может идти по диапазонам MFN, показывать прогресс и не требовать предварительной загрузки полного списка записей в память.</w:t>
      </w:r>
    </w:p>
    <w:p>
      <w:pPr>
        <w:pStyle w:val="BodyText"/>
      </w:pPr>
      <w:r>
        <w:t xml:space="preserve">Также на уровень провайдера выводится поиск следующего физически удаленного MFN, чтобы последующие операции могли явно переиспользовать свободные позиции мастер-файла при поддерживаемом сценарии.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описание конкретных сценариев будет добавляться в задачах, которые подключают этот API к операциям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4"/>
    <w:p>
      <w:pPr>
        <w:pStyle w:val="Heading3"/>
      </w:pPr>
      <w:r>
        <w:t xml:space="preserve">1.1. 🔗 blocks: I128-2554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6"/>
    <w:p>
      <w:pPr>
        <w:pStyle w:val="Heading3"/>
      </w:pPr>
      <w:r>
        <w:t xml:space="preserve">1.3. 🔗 blocks: I128-2616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4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[I128-2555] DP_Irbis64Native открывает потоковый обход MFN для операций провайдера</dc:title>
  <dc:creator/>
  <cp:keywords/>
  <dcterms:created xsi:type="dcterms:W3CDTF">2026-10-06T14:26:29Z</dcterms:created>
  <dcterms:modified xsi:type="dcterms:W3CDTF">2026-10-06T14:26:29Z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