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Глобальные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глобальные-константы"/>
    <w:p>
      <w:pPr>
        <w:pStyle w:val="Heading1"/>
      </w:pPr>
      <w:r>
        <w:t xml:space="preserve">Глобальные константы</w:t>
      </w:r>
    </w:p>
    <w:p>
      <w:pPr>
        <w:pStyle w:val="FirstParagraph"/>
      </w:pPr>
      <w:r>
        <w:t xml:space="preserve">Глобальные константы подключаются из файла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 Ниже перечислены базовые коды и константы путей, которые использовались в исходном описании ядра.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Константа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ER_OK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ER_POINTER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ER_NOTCONNECTED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APATH_SYS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APATH_DATAI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APATH_MST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APATH_IF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APATH_DB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</w:tr>
    </w:tbl>
    <w:p>
      <w:pPr>
        <w:pStyle w:val="BodyText"/>
      </w:pPr>
      <w:r>
        <w:t xml:space="preserve">Полный список констант см. в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; он включает коды ошибок, команды протокола ИРБИС, размеры пакетов и служебные разделители.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Глобальные константы</dc:title>
  <dc:creator/>
  <cp:keywords/>
  <dcterms:created xsi:type="dcterms:W3CDTF">2026-10-08T14:21:40Z</dcterms:created>
  <dcterms:modified xsi:type="dcterms:W3CDTF">2026-10-08T14:21:40Z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