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[I128-2606] Запуск протокольного обновления записей из управления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Xa86ffaf456d44a191a225c512d7e21c39edcff1"/>
    <w:p>
      <w:pPr>
        <w:pStyle w:val="Heading1"/>
      </w:pPr>
      <w:r>
        <w:t xml:space="preserve">[I128-2606] Запуск протокольного обновления записей из управления БД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данных, 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12:37</w:t>
      </w:r>
    </w:p>
    <w:p>
      <w:pPr>
        <w:pStyle w:val="BodyText"/>
      </w:pPr>
      <w:r>
        <w:t xml:space="preserve">Добавлен backend-сценарий запуска протокольного обновления записей из управления БД.</w:t>
      </w:r>
    </w:p>
    <w:p>
      <w:pPr>
        <w:pStyle w:val="BodyText"/>
      </w:pPr>
      <w:r>
        <w:t xml:space="preserve">Что меняется: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Database/RecUpdateProtocolRecord</w:t>
      </w:r>
      <w:r>
        <w:t xml:space="preserve"> </w:t>
      </w:r>
      <w:r>
        <w:t xml:space="preserve">принимает содержимое протокольной записи или файл, проверяет доступность БД, запрещает неподдержанный режим чистой актуализации без обновления MST/XRF и вызывает provider action</w:t>
      </w:r>
      <w:r>
        <w:t xml:space="preserve"> </w:t>
      </w:r>
      <w:r>
        <w:rPr>
          <w:rStyle w:val="VerbatimChar"/>
        </w:rPr>
        <w:t xml:space="preserve">RecUpdateProtocolRecord</w:t>
      </w:r>
      <w:r>
        <w:t xml:space="preserve">.</w:t>
      </w:r>
      <w:r>
        <w:t xml:space="preserve"> </w:t>
      </w:r>
      <w:r>
        <w:t xml:space="preserve">- Queue action</w:t>
      </w:r>
      <w:r>
        <w:t xml:space="preserve"> </w:t>
      </w:r>
      <w:r>
        <w:rPr>
          <w:rStyle w:val="VerbatimChar"/>
        </w:rPr>
        <w:t xml:space="preserve">Database/RecUpdateProtocolRecord</w:t>
      </w:r>
      <w:r>
        <w:t xml:space="preserve"> </w:t>
      </w:r>
      <w:r>
        <w:t xml:space="preserve">проверяет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 принимает текст протокола или ранее загруженный</w:t>
      </w:r>
      <w:r>
        <w:t xml:space="preserve"> </w:t>
      </w:r>
      <w:r>
        <w:rPr>
          <w:rStyle w:val="VerbatimChar"/>
        </w:rPr>
        <w:t xml:space="preserve">ProtocolUploadId</w:t>
      </w:r>
      <w:r>
        <w:t xml:space="preserve">, читает файл только из безопасного рабочего каталога операции</w:t>
      </w:r>
      <w:r>
        <w:t xml:space="preserve"> </w:t>
      </w:r>
      <w:r>
        <w:rPr>
          <w:rStyle w:val="VerbatimChar"/>
        </w:rPr>
        <w:t xml:space="preserve">irbistool-recupdate</w:t>
      </w:r>
      <w:r>
        <w:t xml:space="preserve">, требует подтверждение backup/rollback перед записью в MST/XRF и возвращает структурированный результат выполнения.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DP_Irbis64Native/RecUpdateProtocolRecord</w:t>
      </w:r>
      <w:r>
        <w:t xml:space="preserve"> </w:t>
      </w:r>
      <w:r>
        <w:t xml:space="preserve">разбирает протокольный формат</w:t>
      </w:r>
      <w:r>
        <w:t xml:space="preserve"> </w:t>
      </w:r>
      <w:r>
        <w:rPr>
          <w:rStyle w:val="VerbatimChar"/>
        </w:rPr>
        <w:t xml:space="preserve">recupdate</w:t>
      </w:r>
      <w:r>
        <w:t xml:space="preserve">, сохраняет запись через native-provider, поддерживает autoin, сохраняет признаки неактуализированного индекса при необходимости, формирует отчет в формате, сопоставимом с выводом</w:t>
      </w:r>
      <w:r>
        <w:t xml:space="preserve"> </w:t>
      </w:r>
      <w:r>
        <w:rPr>
          <w:rStyle w:val="VerbatimChar"/>
        </w:rPr>
        <w:t xml:space="preserve">irbistool recupdate</w:t>
      </w:r>
      <w:r>
        <w:t xml:space="preserve">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После добавления UI пользователь сможет обновить одну запись по протокольному формату: вставить текст протокола или использовать загруженный файл, выбрать обновление MST/XRF и актуализацию словаря, подтвердить наличие резервной копии и получить подробный отчет по MFN, версии, статусу, XRF-признакам и строкам отчета. Ошибочные режимы и отсутствие поддержки провайдера возвращаются как понятные структурированные ошибки, а не как необработанный сбой.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Отдельная справочная задача нужна после выноса UI-окна и пункта меню, чтобы описать полный пользовательский сценарий запуска операции из интерфейса.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49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2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07"/>
    <w:p>
      <w:pPr>
        <w:pStyle w:val="Heading3"/>
      </w:pPr>
      <w:r>
        <w:t xml:space="preserve">1.1. 🔗 blocks: I128-2607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[I128-2607]</w:t>
        </w:r>
      </w:hyperlink>
      <w:r>
        <w:t xml:space="preserve"> </w:t>
      </w:r>
      <w:r>
        <w:t xml:space="preserve">Окно запуска протокольного обновления записей в управлении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478"/>
    <w:p>
      <w:pPr>
        <w:pStyle w:val="Heading3"/>
      </w:pPr>
      <w:r>
        <w:t xml:space="preserve">1.2. 🔗 blocks: I128-2478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[I128-2478]</w:t>
        </w:r>
      </w:hyperlink>
      <w:r>
        <w:t xml:space="preserve"> </w:t>
      </w:r>
      <w:r>
        <w:t xml:space="preserve">Record: сохранять физический порядок и raw-представление полей записи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512"/>
    <w:p>
      <w:pPr>
        <w:pStyle w:val="Heading3"/>
      </w:pPr>
      <w:r>
        <w:t xml:space="preserve">1.3. 🔗 blocks: I128-2512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[I128-2512]</w:t>
        </w:r>
      </w:hyperlink>
      <w:r>
        <w:t xml:space="preserve"> </w:t>
      </w:r>
      <w:r>
        <w:t xml:space="preserve">Рабочий каталог и безопасный обмен файлами для операций с форматами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557"/>
    <w:p>
      <w:pPr>
        <w:pStyle w:val="Heading3"/>
      </w:pPr>
      <w:r>
        <w:t xml:space="preserve">1.4. 🔗 blocks: I128-2557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[I128-2557]</w:t>
        </w:r>
      </w:hyperlink>
      <w:r>
        <w:t xml:space="preserve"> </w:t>
      </w:r>
      <w:r>
        <w:t xml:space="preserve">DP_Irbis64Native профилирует запись MST/XRF для массовых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558"/>
    <w:p>
      <w:pPr>
        <w:pStyle w:val="Heading3"/>
      </w:pPr>
      <w:r>
        <w:t xml:space="preserve">1.5. 🔗 blocks: I128-2558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[I128-2558]</w:t>
        </w:r>
      </w:hyperlink>
      <w:r>
        <w:t xml:space="preserve"> </w:t>
      </w:r>
      <w:r>
        <w:t xml:space="preserve">DP_Irbis64Native поддерживает внешнюю транзакцию при обновлении записи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590"/>
    <w:p>
      <w:pPr>
        <w:pStyle w:val="Heading3"/>
      </w:pPr>
      <w:r>
        <w:t xml:space="preserve">1.6. 🔗 blocks: I128-2590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[I128-2590]</w:t>
        </w:r>
      </w:hyperlink>
      <w:r>
        <w:t xml:space="preserve"> </w:t>
      </w:r>
      <w:r>
        <w:t xml:space="preserve">Database загружает протокольную запись для обновления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478/README" TargetMode="External" /><Relationship Type="http://schemas.openxmlformats.org/officeDocument/2006/relationships/hyperlink" Id="rId13" Target="?id=Help/Show&amp;m=Help/GeneralDescription/WhatsNew/I128/TaskInfo/I128-2512/README" TargetMode="External" /><Relationship Type="http://schemas.openxmlformats.org/officeDocument/2006/relationships/hyperlink" Id="rId15" Target="?id=Help/Show&amp;m=Help/GeneralDescription/WhatsNew/I128/TaskInfo/I128-2557/README" TargetMode="External" /><Relationship Type="http://schemas.openxmlformats.org/officeDocument/2006/relationships/hyperlink" Id="rId17" Target="?id=Help/Show&amp;m=Help/GeneralDescription/WhatsNew/I128/TaskInfo/I128-2558/README" TargetMode="External" /><Relationship Type="http://schemas.openxmlformats.org/officeDocument/2006/relationships/hyperlink" Id="rId19" Target="?id=Help/Show&amp;m=Help/GeneralDescription/WhatsNew/I128/TaskInfo/I128-2590/README" TargetMode="External" /><Relationship Type="http://schemas.openxmlformats.org/officeDocument/2006/relationships/hyperlink" Id="rId9" Target="?id=Help/Show&amp;m=Help/GeneralDescription/WhatsNew/I128/TaskInfo/I128-260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478/README" TargetMode="External" /><Relationship Type="http://schemas.openxmlformats.org/officeDocument/2006/relationships/hyperlink" Id="rId13" Target="?id=Help/Show&amp;m=Help/GeneralDescription/WhatsNew/I128/TaskInfo/I128-2512/README" TargetMode="External" /><Relationship Type="http://schemas.openxmlformats.org/officeDocument/2006/relationships/hyperlink" Id="rId15" Target="?id=Help/Show&amp;m=Help/GeneralDescription/WhatsNew/I128/TaskInfo/I128-2557/README" TargetMode="External" /><Relationship Type="http://schemas.openxmlformats.org/officeDocument/2006/relationships/hyperlink" Id="rId17" Target="?id=Help/Show&amp;m=Help/GeneralDescription/WhatsNew/I128/TaskInfo/I128-2558/README" TargetMode="External" /><Relationship Type="http://schemas.openxmlformats.org/officeDocument/2006/relationships/hyperlink" Id="rId19" Target="?id=Help/Show&amp;m=Help/GeneralDescription/WhatsNew/I128/TaskInfo/I128-2590/README" TargetMode="External" /><Relationship Type="http://schemas.openxmlformats.org/officeDocument/2006/relationships/hyperlink" Id="rId9" Target="?id=Help/Show&amp;m=Help/GeneralDescription/WhatsNew/I128/TaskInfo/I128-260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[I128-2606] Запуск протокольного обновления записей из управления БД</dc:title>
  <dc:creator/>
  <cp:keywords/>
  <dcterms:created xsi:type="dcterms:W3CDTF">2026-10-06T21:08:14Z</dcterms:created>
  <dcterms:modified xsi:type="dcterms:W3CDTF">2026-10-06T21:08:14Z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