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Light 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щик-light-gallery"/>
    <w:p>
      <w:pPr>
        <w:pStyle w:val="Heading1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9" w:name="основные-преимущества"/>
    <w:p>
      <w:pPr>
        <w:pStyle w:val="Heading2"/>
      </w:pPr>
      <w:r>
        <w:t xml:space="preserve">1. Основные преимущества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9"/>
    <w:bookmarkStart w:id="10" w:name="функциональные-возможности"/>
    <w:p>
      <w:pPr>
        <w:pStyle w:val="Heading2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Compact"/>
        <w:numPr>
          <w:ilvl w:val="0"/>
          <w:numId w:val="1003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03"/>
        </w:numPr>
      </w:pPr>
      <w:r>
        <w:t xml:space="preserve">Поддерживается переход к конкретной странице по ее номеру.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Light Gallery</dc:title>
  <dc:creator/>
  <cp:keywords/>
  <dcterms:created xsi:type="dcterms:W3CDTF">2026-10-10T05:04:52Z</dcterms:created>
  <dcterms:modified xsi:type="dcterms:W3CDTF">2026-10-10T05:04:52Z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