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Выражения</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2" w:name="выражения"/>
    <w:p>
      <w:pPr>
        <w:pStyle w:val="Heading1"/>
      </w:pPr>
      <w:r>
        <w:t xml:space="preserve">Выражения</w:t>
      </w:r>
    </w:p>
    <w:p>
      <w:pPr>
        <w:pStyle w:val="FirstParagraph"/>
      </w:pPr>
      <w:r>
        <w:t xml:space="preserve">Язык форматирования позволяет вычислять значения и/или сравнивать значения с помощью выражений. Выражения построены таким образом, что при их вычислении возвращается значение. Таким значением может быть строка символов (например, содержимое поля или литерал), тогда выражение называется строковым, либо число, тогда выражение называется числовым, либо логическое значение (истина или ложь), тогда выражение называется логическим. В системе также имеется набор функций, которые, на основе задаваемых аргументов, выполняют некоторые специфические действия и возвращают значения. Функции, возвращающие в качестве значения число, называются числовыми функциями, возвращающие строку символов - строковыми функциями, а возвращающие логическое значение - логическими функциями. Только строковые функции могут использоваться непосредственно в качестве команд форматирования. Числовые выражения могут использоваться либо в логических выражениях, либо в качестве аргументов функций. Логические выражения и логические функции могут использоваться только в контексте команды IF.</w:t>
      </w:r>
    </w:p>
    <w:bookmarkStart w:id="9" w:name="числовые-выражения"/>
    <w:p>
      <w:pPr>
        <w:pStyle w:val="Heading2"/>
      </w:pPr>
      <w:r>
        <w:t xml:space="preserve">Числовые выражения</w:t>
      </w:r>
    </w:p>
    <w:p>
      <w:pPr>
        <w:pStyle w:val="FirstParagraph"/>
      </w:pPr>
      <w:r>
        <w:t xml:space="preserve">Числовое выражение формируется из операндов, которые имеют числовое значение, и операторов, определяющих вид вычислений.</w:t>
      </w:r>
    </w:p>
    <w:p>
      <w:pPr>
        <w:pStyle w:val="BodyText"/>
      </w:pPr>
      <w:r>
        <w:t xml:space="preserve">В числовых выражениях можно использовать следующие операнды:</w:t>
      </w:r>
      <w:r>
        <w:t xml:space="preserve"> </w:t>
      </w:r>
      <w:r>
        <w:t xml:space="preserve">* Числовые константы: Например, 5, 18, 98.65. Числовые константы могут быть представлены в виде целых чисел, чисел с десятичной точкой или чисел в экспоненциальной форме, например, 1.5Е5 (обозначающее 1.5 умноженное на 10 в 5-ой степени, т.е. 150000). Числа могут быть со знаком или без.</w:t>
      </w:r>
      <w:r>
        <w:t xml:space="preserve"> </w:t>
      </w:r>
      <w:r>
        <w:t xml:space="preserve">* Числовые функции: Например, val(v10).</w:t>
      </w:r>
      <w:r>
        <w:t xml:space="preserve"> </w:t>
      </w:r>
      <w:r>
        <w:t xml:space="preserve">* MFN: Значение MFN записи.</w:t>
      </w:r>
      <w:r>
        <w:t xml:space="preserve"> </w:t>
      </w:r>
      <w:r>
        <w:t xml:space="preserve">* Числовые выражения: При использовании их в качестве операндов они должны быть заключены в круглые скобки, например:</w:t>
      </w:r>
    </w:p>
    <w:p>
      <w:pPr>
        <w:pStyle w:val="SourceCode"/>
      </w:pPr>
      <w:r>
        <w:rPr>
          <w:rStyle w:val="VerbatimChar"/>
        </w:rPr>
        <w:t xml:space="preserve">(val(v20)-5)</w:t>
      </w:r>
    </w:p>
    <w:p>
      <w:pPr>
        <w:pStyle w:val="FirstParagraph"/>
      </w:pPr>
      <w:r>
        <w:t xml:space="preserve">Допустимыми операторами являются:</w:t>
      </w:r>
      <w:r>
        <w:t xml:space="preserve"> </w:t>
      </w:r>
      <w:r>
        <w:t xml:space="preserve">* + сложение;</w:t>
      </w:r>
      <w:r>
        <w:t xml:space="preserve"> </w:t>
      </w:r>
      <w:r>
        <w:t xml:space="preserve">* - вычитание;</w:t>
      </w:r>
      <w:r>
        <w:t xml:space="preserve"> </w:t>
      </w:r>
      <w:r>
        <w:t xml:space="preserve">* * умножение;</w:t>
      </w:r>
      <w:r>
        <w:t xml:space="preserve"> </w:t>
      </w:r>
      <w:r>
        <w:t xml:space="preserve">* / деление.</w:t>
      </w:r>
    </w:p>
    <w:p>
      <w:pPr>
        <w:pStyle w:val="BodyText"/>
      </w:pPr>
      <w:r>
        <w:t xml:space="preserve">Как и в обычной алгебре, при отсутствии скобок одноместные операции выполняются первыми, а умножение и деление выполняются до сложения и вычитания. Два и более операторов одного уровня выполняются слева направо. Можно использовать скобки для изменения порядка вычисления: выражения, заключенные в скобки, вычисляются первыми, а выражения с большей глубиной вложенности вычисляются перед выражениями с меньшей глубиной вложенности скобок.</w:t>
      </w:r>
    </w:p>
    <w:p>
      <w:pPr>
        <w:pStyle w:val="BodyText"/>
      </w:pPr>
      <w:r>
        <w:t xml:space="preserve">Поскольку команды вывода полей (например, v10 или v10^a) дают текстовые строки, они не могут использоваться в качестве операндов числовых выражений. Однако, для преобразования содержимого поля или подполя в числовое значение может быть использована функция VAL.</w:t>
      </w:r>
    </w:p>
    <w:p>
      <w:pPr>
        <w:pStyle w:val="BodyText"/>
      </w:pPr>
      <w:r>
        <w:t xml:space="preserve">Аналогичным образом, числовое выражение не может быть непосредственно выведено на экран или печать, а должно быть предварительно преобразовано в строку символов, используя функцию F.</w:t>
      </w:r>
    </w:p>
    <w:p>
      <w:pPr>
        <w:pStyle w:val="BodyText"/>
      </w:pPr>
      <w:r>
        <w:t xml:space="preserve">Ниже приведены примеры числовых выражений (при этом предполагается, что MFN=10, v1^a=10, v1^b=20 и v2=30):</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Выражение</w:t>
            </w:r>
          </w:p>
        </w:tc>
        <w:tc>
          <w:tcPr/>
          <w:p>
            <w:pPr>
              <w:pStyle w:val="Compact"/>
            </w:pPr>
            <w:r>
              <w:t xml:space="preserve">Значение</w:t>
            </w:r>
          </w:p>
        </w:tc>
      </w:tr>
      <w:tr>
        <w:tc>
          <w:tcPr/>
          <w:p>
            <w:pPr>
              <w:pStyle w:val="Compact"/>
            </w:pPr>
            <w:r>
              <w:t xml:space="preserve">0.155е+3</w:t>
            </w:r>
          </w:p>
        </w:tc>
        <w:tc>
          <w:tcPr/>
          <w:p>
            <w:pPr>
              <w:pStyle w:val="Compact"/>
            </w:pPr>
            <w:r>
              <w:t xml:space="preserve">155</w:t>
            </w:r>
          </w:p>
        </w:tc>
      </w:tr>
      <w:tr>
        <w:tc>
          <w:tcPr/>
          <w:p>
            <w:pPr>
              <w:pStyle w:val="Compact"/>
            </w:pPr>
            <w:r>
              <w:t xml:space="preserve">1е-3</w:t>
            </w:r>
          </w:p>
        </w:tc>
        <w:tc>
          <w:tcPr/>
          <w:p>
            <w:pPr>
              <w:pStyle w:val="Compact"/>
            </w:pPr>
            <w:r>
              <w:t xml:space="preserve">0.001</w:t>
            </w:r>
          </w:p>
        </w:tc>
      </w:tr>
      <w:tr>
        <w:tc>
          <w:tcPr/>
          <w:p>
            <w:pPr>
              <w:pStyle w:val="Compact"/>
            </w:pPr>
            <w:r>
              <w:t xml:space="preserve">2*3+9</w:t>
            </w:r>
          </w:p>
        </w:tc>
        <w:tc>
          <w:tcPr/>
          <w:p>
            <w:pPr>
              <w:pStyle w:val="Compact"/>
            </w:pPr>
            <w:r>
              <w:t xml:space="preserve">15</w:t>
            </w:r>
          </w:p>
        </w:tc>
      </w:tr>
      <w:tr>
        <w:tc>
          <w:tcPr/>
          <w:p>
            <w:pPr>
              <w:pStyle w:val="Compact"/>
            </w:pPr>
            <w:r>
              <w:t xml:space="preserve">2*(3+9)</w:t>
            </w:r>
          </w:p>
        </w:tc>
        <w:tc>
          <w:tcPr/>
          <w:p>
            <w:pPr>
              <w:pStyle w:val="Compact"/>
            </w:pPr>
            <w:r>
              <w:t xml:space="preserve">24</w:t>
            </w:r>
          </w:p>
        </w:tc>
      </w:tr>
      <w:tr>
        <w:tc>
          <w:tcPr/>
          <w:p>
            <w:pPr>
              <w:pStyle w:val="Compact"/>
            </w:pPr>
            <w:r>
              <w:t xml:space="preserve">10-(4*(2-1))</w:t>
            </w:r>
          </w:p>
        </w:tc>
        <w:tc>
          <w:tcPr/>
          <w:p>
            <w:pPr>
              <w:pStyle w:val="Compact"/>
            </w:pPr>
            <w:r>
              <w:t xml:space="preserve">6</w:t>
            </w:r>
          </w:p>
        </w:tc>
      </w:tr>
      <w:tr>
        <w:tc>
          <w:tcPr/>
          <w:p>
            <w:pPr>
              <w:pStyle w:val="Compact"/>
            </w:pPr>
            <w:r>
              <w:t xml:space="preserve">15*0.001</w:t>
            </w:r>
          </w:p>
        </w:tc>
        <w:tc>
          <w:tcPr/>
          <w:p>
            <w:pPr>
              <w:pStyle w:val="Compact"/>
            </w:pPr>
            <w:r>
              <w:t xml:space="preserve">0.015</w:t>
            </w:r>
          </w:p>
        </w:tc>
      </w:tr>
      <w:tr>
        <w:tc>
          <w:tcPr/>
          <w:p>
            <w:pPr>
              <w:pStyle w:val="Compact"/>
            </w:pPr>
            <w:r>
              <w:t xml:space="preserve">mfn+100</w:t>
            </w:r>
          </w:p>
        </w:tc>
        <w:tc>
          <w:tcPr/>
          <w:p>
            <w:pPr>
              <w:pStyle w:val="Compact"/>
            </w:pPr>
            <w:r>
              <w:t xml:space="preserve">110</w:t>
            </w:r>
          </w:p>
        </w:tc>
      </w:tr>
      <w:tr>
        <w:tc>
          <w:tcPr/>
          <w:p>
            <w:pPr>
              <w:pStyle w:val="Compact"/>
            </w:pPr>
            <w:r>
              <w:t xml:space="preserve">val(v2)+val(v1^a)*7.5</w:t>
            </w:r>
          </w:p>
        </w:tc>
        <w:tc>
          <w:tcPr/>
          <w:p>
            <w:pPr>
              <w:pStyle w:val="Compact"/>
            </w:pPr>
            <w:r>
              <w:t xml:space="preserve">105</w:t>
            </w:r>
          </w:p>
        </w:tc>
      </w:tr>
      <w:tr>
        <w:tc>
          <w:tcPr/>
          <w:p>
            <w:pPr>
              <w:pStyle w:val="Compact"/>
            </w:pPr>
            <w:r>
              <w:t xml:space="preserve">(val(v1</w:t>
            </w:r>
            <w:r>
              <w:rPr>
                <w:vertAlign w:val="superscript"/>
              </w:rPr>
              <w:t xml:space="preserve">a)-val(v1</w:t>
            </w:r>
            <w:r>
              <w:t xml:space="preserve">b))/100</w:t>
            </w:r>
          </w:p>
        </w:tc>
        <w:tc>
          <w:tcPr/>
          <w:p>
            <w:pPr>
              <w:pStyle w:val="Compact"/>
            </w:pPr>
            <w:r>
              <w:t xml:space="preserve">-0.1</w:t>
            </w:r>
          </w:p>
        </w:tc>
      </w:tr>
    </w:tbl>
    <w:bookmarkEnd w:id="9"/>
    <w:bookmarkStart w:id="10" w:name="строковые-выражения"/>
    <w:p>
      <w:pPr>
        <w:pStyle w:val="Heading2"/>
      </w:pPr>
      <w:r>
        <w:t xml:space="preserve">Строковые выражения</w:t>
      </w:r>
    </w:p>
    <w:p>
      <w:pPr>
        <w:pStyle w:val="FirstParagraph"/>
      </w:pPr>
      <w:r>
        <w:t xml:space="preserve">Строковые выражения формируются из операндов, которые являются строками символов. Поскольку в системе нет явно задаваемых строковых операторов, строковое выражение всегда состоит из одного операнда, которым может быть:</w:t>
      </w:r>
      <w:r>
        <w:t xml:space="preserve"> </w:t>
      </w:r>
      <w:r>
        <w:t xml:space="preserve">* Безусловный литерал: такой, например, как</w:t>
      </w:r>
      <w:r>
        <w:t xml:space="preserve"> </w:t>
      </w:r>
      <w:r>
        <w:t xml:space="preserve">‘некоторый текст’</w:t>
      </w:r>
      <w:r>
        <w:t xml:space="preserve">;</w:t>
      </w:r>
      <w:r>
        <w:t xml:space="preserve"> </w:t>
      </w:r>
      <w:r>
        <w:t xml:space="preserve">* Команда вывода поля/подполя: которая может включать команду смещение/длина (например, v26^c</w:t>
      </w:r>
      <w:r>
        <w:rPr>
          <w:i/>
          <w:iCs/>
        </w:rPr>
        <w:t xml:space="preserve">2.2);</w:t>
      </w:r>
      <w:r>
        <w:rPr>
          <w:i/>
          <w:iCs/>
        </w:rPr>
        <w:t xml:space="preserve"> </w:t>
      </w:r>
      <w:r>
        <w:t xml:space="preserve"> </w:t>
      </w:r>
      <w:r>
        <w:t xml:space="preserve">Строковая функция: такая, например, как S(v24,v25,v26).</w:t>
      </w:r>
    </w:p>
    <w:bookmarkEnd w:id="10"/>
    <w:bookmarkStart w:id="11" w:name="логические-выражения."/>
    <w:p>
      <w:pPr>
        <w:pStyle w:val="Heading2"/>
      </w:pPr>
      <w:r>
        <w:t xml:space="preserve">Логические выражения.</w:t>
      </w:r>
    </w:p>
    <w:p>
      <w:pPr>
        <w:pStyle w:val="FirstParagraph"/>
      </w:pPr>
      <w:r>
        <w:t xml:space="preserve">Логические выражения используются для вычисления истинности одного или более условий. Операндами логического выражения могут быть:</w:t>
      </w:r>
      <w:r>
        <w:t xml:space="preserve"> </w:t>
      </w:r>
      <w:r>
        <w:t xml:space="preserve">*</w:t>
      </w:r>
      <w:r>
        <w:t xml:space="preserve"> </w:t>
      </w:r>
      <w:r>
        <w:rPr>
          <w:b/>
          <w:bCs/>
        </w:rPr>
        <w:t xml:space="preserve">Выражения отношений:</w:t>
      </w:r>
      <w:r>
        <w:t xml:space="preserve"> </w:t>
      </w:r>
      <w:r>
        <w:t xml:space="preserve">они сравнивают два значения и определяют, удовлетворяют ли они отношению, например, mfn&lt;10;</w:t>
      </w:r>
      <w:r>
        <w:t xml:space="preserve"> </w:t>
      </w:r>
      <w:r>
        <w:t xml:space="preserve">*</w:t>
      </w:r>
      <w:r>
        <w:t xml:space="preserve"> </w:t>
      </w:r>
      <w:r>
        <w:rPr>
          <w:b/>
          <w:bCs/>
        </w:rPr>
        <w:t xml:space="preserve">Логические функции:</w:t>
      </w:r>
      <w:r>
        <w:t xml:space="preserve"> </w:t>
      </w:r>
      <w:r>
        <w:t xml:space="preserve">такие, например, как p(v24), которые возвращают значение</w:t>
      </w:r>
      <w:r>
        <w:t xml:space="preserve"> </w:t>
      </w:r>
      <w:r>
        <w:t xml:space="preserve">“истина”</w:t>
      </w:r>
      <w:r>
        <w:t xml:space="preserve"> </w:t>
      </w:r>
      <w:r>
        <w:t xml:space="preserve">или</w:t>
      </w:r>
      <w:r>
        <w:t xml:space="preserve"> </w:t>
      </w:r>
      <w:r>
        <w:t xml:space="preserve">“ложь”</w:t>
      </w:r>
      <w:r>
        <w:t xml:space="preserve"> </w:t>
      </w:r>
      <w:r>
        <w:t xml:space="preserve">в зависимости от наличия поля, специфицированного в аргументе</w:t>
      </w:r>
    </w:p>
    <w:p>
      <w:pPr>
        <w:pStyle w:val="BodyText"/>
      </w:pPr>
      <w:r>
        <w:t xml:space="preserve">Выражение отношения позволяет определять находятся ли указанные два значения в соответствующем соотношении или нет. Общий вид выражения отношения следующий:</w:t>
      </w:r>
    </w:p>
    <w:p>
      <w:pPr>
        <w:pStyle w:val="SourceCode"/>
      </w:pPr>
      <w:r>
        <w:rPr>
          <w:rStyle w:val="NormalTok"/>
        </w:rPr>
        <w:t xml:space="preserve">выражение-1  оператор-отношения  выражение-2,</w:t>
      </w:r>
    </w:p>
    <w:p>
      <w:pPr>
        <w:pStyle w:val="FirstParagraph"/>
      </w:pPr>
      <w:r>
        <w:t xml:space="preserve">где:</w:t>
      </w:r>
      <w:r>
        <w:t xml:space="preserve"> </w:t>
      </w:r>
      <w:r>
        <w:t xml:space="preserve">* выражение-1 - числовое или строковое выражение;</w:t>
      </w:r>
      <w:r>
        <w:t xml:space="preserve"> </w:t>
      </w:r>
      <w:r>
        <w:t xml:space="preserve">* оператор-отношения - может быть одним из следующих:</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Оператор</w:t>
            </w:r>
          </w:p>
        </w:tc>
        <w:tc>
          <w:tcPr/>
          <w:p>
            <w:pPr>
              <w:pStyle w:val="Compact"/>
            </w:pPr>
            <w:r>
              <w:t xml:space="preserve">Значение</w:t>
            </w:r>
          </w:p>
        </w:tc>
      </w:tr>
      <w:tr>
        <w:tc>
          <w:tcPr/>
          <w:p>
            <w:pPr>
              <w:pStyle w:val="Compact"/>
            </w:pPr>
            <w:r>
              <w:t xml:space="preserve">=</w:t>
            </w:r>
          </w:p>
        </w:tc>
        <w:tc>
          <w:tcPr/>
          <w:p>
            <w:pPr>
              <w:pStyle w:val="Compact"/>
            </w:pPr>
            <w:r>
              <w:t xml:space="preserve">равно</w:t>
            </w:r>
          </w:p>
        </w:tc>
      </w:tr>
      <w:tr>
        <w:tc>
          <w:tcPr/>
          <w:p>
            <w:pPr>
              <w:pStyle w:val="Compact"/>
            </w:pPr>
            <w:r>
              <w:t xml:space="preserve">&lt;&gt;</w:t>
            </w:r>
          </w:p>
        </w:tc>
        <w:tc>
          <w:tcPr/>
          <w:p>
            <w:pPr>
              <w:pStyle w:val="Compact"/>
            </w:pPr>
            <w:r>
              <w:t xml:space="preserve">не равно</w:t>
            </w:r>
          </w:p>
        </w:tc>
      </w:tr>
      <w:tr>
        <w:tc>
          <w:tcPr/>
          <w:p>
            <w:pPr>
              <w:pStyle w:val="Compact"/>
            </w:pPr>
            <w:r>
              <w:t xml:space="preserve">&lt;</w:t>
            </w:r>
          </w:p>
        </w:tc>
        <w:tc>
          <w:tcPr/>
          <w:p>
            <w:pPr>
              <w:pStyle w:val="Compact"/>
            </w:pPr>
            <w:r>
              <w:t xml:space="preserve">меньше</w:t>
            </w:r>
          </w:p>
        </w:tc>
      </w:tr>
      <w:tr>
        <w:tc>
          <w:tcPr/>
          <w:p>
            <w:pPr>
              <w:pStyle w:val="Compact"/>
            </w:pPr>
            <w:r>
              <w:t xml:space="preserve">&lt;=</w:t>
            </w:r>
          </w:p>
        </w:tc>
        <w:tc>
          <w:tcPr/>
          <w:p>
            <w:pPr>
              <w:pStyle w:val="Compact"/>
            </w:pPr>
            <w:r>
              <w:t xml:space="preserve">меньше или равно</w:t>
            </w:r>
          </w:p>
        </w:tc>
      </w:tr>
      <w:tr>
        <w:tc>
          <w:tcPr/>
          <w:p>
            <w:pPr>
              <w:pStyle w:val="Compact"/>
            </w:pPr>
            <w:r>
              <w:t xml:space="preserve">&gt;</w:t>
            </w:r>
          </w:p>
        </w:tc>
        <w:tc>
          <w:tcPr/>
          <w:p>
            <w:pPr>
              <w:pStyle w:val="Compact"/>
            </w:pPr>
            <w:r>
              <w:t xml:space="preserve">больше</w:t>
            </w:r>
          </w:p>
        </w:tc>
      </w:tr>
      <w:tr>
        <w:tc>
          <w:tcPr/>
          <w:p>
            <w:pPr>
              <w:pStyle w:val="Compact"/>
            </w:pPr>
            <w:r>
              <w:t xml:space="preserve">&gt;=</w:t>
            </w:r>
          </w:p>
        </w:tc>
        <w:tc>
          <w:tcPr/>
          <w:p>
            <w:pPr>
              <w:pStyle w:val="Compact"/>
            </w:pPr>
            <w:r>
              <w:t xml:space="preserve">больше или равно</w:t>
            </w:r>
          </w:p>
        </w:tc>
      </w:tr>
      <w:tr>
        <w:tc>
          <w:tcPr/>
          <w:p>
            <w:pPr>
              <w:pStyle w:val="Compact"/>
            </w:pPr>
            <w:r>
              <w:t xml:space="preserve">:</w:t>
            </w:r>
          </w:p>
        </w:tc>
        <w:tc>
          <w:tcPr/>
          <w:p>
            <w:pPr>
              <w:pStyle w:val="Compact"/>
            </w:pPr>
            <w:r>
              <w:t xml:space="preserve">содержит (используется только для строковых выражений)</w:t>
            </w:r>
          </w:p>
        </w:tc>
      </w:tr>
    </w:tbl>
    <w:p>
      <w:pPr>
        <w:pStyle w:val="Compact"/>
        <w:numPr>
          <w:ilvl w:val="0"/>
          <w:numId w:val="1001"/>
        </w:numPr>
      </w:pPr>
      <w:r>
        <w:t xml:space="preserve">выражение-2 - выражение того же типа, что и выражение-1, т. е. выражение-1 и выражение-2 должны быть либо оба числовыми, либо оба строковыми.</w:t>
      </w:r>
    </w:p>
    <w:p>
      <w:pPr>
        <w:pStyle w:val="FirstParagraph"/>
      </w:pPr>
      <w:r>
        <w:t xml:space="preserve">Операторы отношений =, &lt;&gt;, &lt;, &lt;=, &gt;, &gt;= имеют обычное значение при их применении к числовым выражениям. При сравнении строковых выражений применяются следующие правила:</w:t>
      </w:r>
      <w:r>
        <w:t xml:space="preserve"> </w:t>
      </w:r>
      <w:r>
        <w:t xml:space="preserve">1. Кроме оператора</w:t>
      </w:r>
      <w:r>
        <w:t xml:space="preserve"> </w:t>
      </w:r>
      <w:r>
        <w:t xml:space="preserve">“содержит”</w:t>
      </w:r>
      <w:r>
        <w:t xml:space="preserve"> </w:t>
      </w:r>
      <w:r>
        <w:t xml:space="preserve">(:) строки сравниваются в точности в том виде, в каком они есть, т.е. прописные и строчные буквы сравниваются по своим кодам (например, код буквы А будет меньше кода буквы а);</w:t>
      </w:r>
      <w:r>
        <w:t xml:space="preserve"> </w:t>
      </w:r>
      <w:r>
        <w:t xml:space="preserve">2. Два строковых выражения не считаются равными, если они не имеют одинаковой длины. Если два выражения, представляющие строки различной длины, таковы, что посимвольно совпадают до конца более короткой строки, то считается, что более короткая строка является меньше более длинной строки.</w:t>
      </w:r>
    </w:p>
    <w:p>
      <w:pPr>
        <w:pStyle w:val="BodyText"/>
      </w:pPr>
      <w:r>
        <w:t xml:space="preserve">Оператор</w:t>
      </w:r>
      <w:r>
        <w:t xml:space="preserve"> </w:t>
      </w:r>
      <w:r>
        <w:t xml:space="preserve">“содержит”</w:t>
      </w:r>
      <w:r>
        <w:t xml:space="preserve"> </w:t>
      </w:r>
      <w:r>
        <w:t xml:space="preserve">(:) проверяет наличие вхождения строки символов, определенной выражением-2, в другую строку, определенную выражением-1. При наличии такого вхождения выражение принимает значение истина. Этот оператор является нечувствительным к прописным и строчным буквам: для него соответствующие прописные и строчные буквы одинаковы.</w:t>
      </w:r>
    </w:p>
    <w:p>
      <w:pPr>
        <w:pStyle w:val="BodyText"/>
      </w:pPr>
      <w:r>
        <w:t xml:space="preserve">Например, результатом выражения</w:t>
      </w:r>
    </w:p>
    <w:p>
      <w:pPr>
        <w:pStyle w:val="SourceCode"/>
      </w:pPr>
      <w:r>
        <w:rPr>
          <w:rStyle w:val="VerbatimChar"/>
        </w:rPr>
        <w:t xml:space="preserve">v10 : 'химия'</w:t>
      </w:r>
    </w:p>
    <w:p>
      <w:pPr>
        <w:pStyle w:val="FirstParagraph"/>
      </w:pPr>
      <w:r>
        <w:t xml:space="preserve">будет истина, если поле 10 содержит в качестве своей подстроки строку химия, в противном случае результатом будет ложь. Отметим, что вторым операндом может быть произвольная строка символов, которая не обязательно совпадает со словом. Так, в приведенном выше примере, результат будет истина не только, когда поле 10 содержит слово химия, но и когда поле содержит такие слова, как биохимия, фотохимия и др.</w:t>
      </w:r>
    </w:p>
    <w:p>
      <w:pPr>
        <w:pStyle w:val="BodyText"/>
      </w:pPr>
      <w:r>
        <w:t xml:space="preserve">Операнды логических выражений могут объединяться с помощью следующих логических операторов:</w:t>
      </w:r>
      <w:r>
        <w:t xml:space="preserve"> </w:t>
      </w:r>
      <w:r>
        <w:t xml:space="preserve">*</w:t>
      </w:r>
      <w:r>
        <w:t xml:space="preserve"> </w:t>
      </w:r>
      <w:r>
        <w:rPr>
          <w:b/>
          <w:bCs/>
        </w:rPr>
        <w:t xml:space="preserve">NOT</w:t>
      </w:r>
      <w:r>
        <w:t xml:space="preserve"> </w:t>
      </w:r>
      <w:r>
        <w:t xml:space="preserve">- оператор дает значение истина, когда операнд имеет значение ложь, и значение ложь, когда операнд - истина. Оператор NOT может использоваться только как унарный, т.е. он всегда применяется к логическому выражению, следующему за ним.</w:t>
      </w:r>
      <w:r>
        <w:t xml:space="preserve"> </w:t>
      </w:r>
      <w:r>
        <w:t xml:space="preserve">*</w:t>
      </w:r>
      <w:r>
        <w:t xml:space="preserve"> </w:t>
      </w:r>
      <w:r>
        <w:rPr>
          <w:b/>
          <w:bCs/>
        </w:rPr>
        <w:t xml:space="preserve">AND</w:t>
      </w:r>
      <w:r>
        <w:t xml:space="preserve"> </w:t>
      </w:r>
      <w:r>
        <w:t xml:space="preserve">- этот оператор дает значение истина, когда оба операнда истинны. Если хотя бы один из операндов имеет значение ложь, то результатом является ложь.</w:t>
      </w:r>
      <w:r>
        <w:t xml:space="preserve"> </w:t>
      </w:r>
      <w:r>
        <w:t xml:space="preserve">*</w:t>
      </w:r>
      <w:r>
        <w:t xml:space="preserve"> </w:t>
      </w:r>
      <w:r>
        <w:rPr>
          <w:b/>
          <w:bCs/>
        </w:rPr>
        <w:t xml:space="preserve">OR</w:t>
      </w:r>
      <w:r>
        <w:t xml:space="preserve"> </w:t>
      </w:r>
      <w:r>
        <w:t xml:space="preserve">- этот оператор выполняет операцию включающего ИЛИ. Результатом является истина, когда один или оба операнда истинны, в противном случае результатом является ложь.</w:t>
      </w:r>
    </w:p>
    <w:p>
      <w:pPr>
        <w:pStyle w:val="BodyText"/>
      </w:pPr>
      <w:r>
        <w:t xml:space="preserve">При вычислении логических выражений, при отсутствии скобок, сначала выполняются операции NOT, затем операции AND, и, наконец, операции OR. Последовательность из двух или более операторов одного уровня обрабатывается слева направо. Можно использовать скобки для изменения порядка вычисления: выражения, заключенные в скобки, вычисляются первыми, а выражения с большей глубиной вложенности вычисляются перед выражениями с меньшей глубиной вложенности скобок.</w:t>
      </w:r>
      <w:r>
        <w:t xml:space="preserve"> </w:t>
      </w:r>
      <w:r>
        <w:t xml:space="preserve">Ниже приведены примеры логических выражений.</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Выражения</w:t>
            </w:r>
          </w:p>
        </w:tc>
        <w:tc>
          <w:tcPr/>
          <w:p>
            <w:pPr>
              <w:pStyle w:val="Compact"/>
            </w:pPr>
            <w:r>
              <w:t xml:space="preserve">Значения</w:t>
            </w:r>
          </w:p>
        </w:tc>
      </w:tr>
      <w:tr>
        <w:tc>
          <w:tcPr/>
          <w:p>
            <w:pPr>
              <w:pStyle w:val="Compact"/>
            </w:pPr>
            <w:r>
              <w:t xml:space="preserve">mfn=34</w:t>
            </w:r>
          </w:p>
        </w:tc>
        <w:tc>
          <w:tcPr/>
          <w:p>
            <w:pPr>
              <w:pStyle w:val="Compact"/>
            </w:pPr>
            <w:r>
              <w:t xml:space="preserve">Истина</w:t>
            </w:r>
          </w:p>
        </w:tc>
      </w:tr>
      <w:tr>
        <w:tc>
          <w:tcPr/>
          <w:p>
            <w:pPr>
              <w:pStyle w:val="Compact"/>
            </w:pPr>
            <w:r>
              <w:t xml:space="preserve">not mfn=34</w:t>
            </w:r>
          </w:p>
        </w:tc>
        <w:tc>
          <w:tcPr/>
          <w:p>
            <w:pPr>
              <w:pStyle w:val="Compact"/>
            </w:pPr>
            <w:r>
              <w:t xml:space="preserve">Ложь</w:t>
            </w:r>
          </w:p>
        </w:tc>
      </w:tr>
      <w:tr>
        <w:tc>
          <w:tcPr/>
          <w:p>
            <w:pPr>
              <w:pStyle w:val="Compact"/>
            </w:pPr>
            <w:r>
              <w:t xml:space="preserve">not (not mfn=34)</w:t>
            </w:r>
          </w:p>
        </w:tc>
        <w:tc>
          <w:tcPr/>
          <w:p>
            <w:pPr>
              <w:pStyle w:val="Compact"/>
            </w:pPr>
            <w:r>
              <w:t xml:space="preserve">Истина</w:t>
            </w:r>
          </w:p>
        </w:tc>
      </w:tr>
      <w:tr>
        <w:tc>
          <w:tcPr/>
          <w:p>
            <w:pPr>
              <w:pStyle w:val="Compact"/>
            </w:pPr>
            <w:r>
              <w:t xml:space="preserve">v20 =</w:t>
            </w:r>
            <w:r>
              <w:t xml:space="preserve"> </w:t>
            </w:r>
            <w:r>
              <w:t xml:space="preserve">‘люди’</w:t>
            </w:r>
          </w:p>
        </w:tc>
        <w:tc>
          <w:tcPr/>
          <w:p>
            <w:pPr>
              <w:pStyle w:val="Compact"/>
            </w:pPr>
            <w:r>
              <w:t xml:space="preserve">Ложь</w:t>
            </w:r>
          </w:p>
        </w:tc>
      </w:tr>
      <w:tr>
        <w:tc>
          <w:tcPr/>
          <w:p>
            <w:pPr>
              <w:pStyle w:val="Compact"/>
            </w:pPr>
            <w:r>
              <w:t xml:space="preserve">v200 :</w:t>
            </w:r>
            <w:r>
              <w:t xml:space="preserve"> </w:t>
            </w:r>
            <w:r>
              <w:t xml:space="preserve">‘люди’</w:t>
            </w:r>
          </w:p>
        </w:tc>
        <w:tc>
          <w:tcPr/>
          <w:p>
            <w:pPr>
              <w:pStyle w:val="Compact"/>
            </w:pPr>
            <w:r>
              <w:t xml:space="preserve">Истина</w:t>
            </w:r>
          </w:p>
        </w:tc>
      </w:tr>
      <w:tr>
        <w:tc>
          <w:tcPr/>
          <w:p>
            <w:pPr>
              <w:pStyle w:val="Compact"/>
            </w:pPr>
            <w:r>
              <w:t xml:space="preserve">v200 :</w:t>
            </w:r>
            <w:r>
              <w:t xml:space="preserve"> </w:t>
            </w:r>
            <w:r>
              <w:t xml:space="preserve">‘ЛЮДИ’</w:t>
            </w:r>
          </w:p>
        </w:tc>
        <w:tc>
          <w:tcPr/>
          <w:p>
            <w:pPr>
              <w:pStyle w:val="Compact"/>
            </w:pPr>
            <w:r>
              <w:t xml:space="preserve">Истина</w:t>
            </w:r>
          </w:p>
        </w:tc>
      </w:tr>
      <w:tr>
        <w:tc>
          <w:tcPr/>
          <w:p>
            <w:pPr>
              <w:pStyle w:val="Compact"/>
            </w:pPr>
            <w:r>
              <w:t xml:space="preserve">v210^c.6 =</w:t>
            </w:r>
            <w:r>
              <w:t xml:space="preserve"> </w:t>
            </w:r>
            <w:r>
              <w:t xml:space="preserve">‘Военное’</w:t>
            </w:r>
          </w:p>
        </w:tc>
        <w:tc>
          <w:tcPr/>
          <w:p>
            <w:pPr>
              <w:pStyle w:val="Compact"/>
            </w:pPr>
            <w:r>
              <w:t xml:space="preserve">Ложь</w:t>
            </w:r>
          </w:p>
        </w:tc>
      </w:tr>
      <w:tr>
        <w:tc>
          <w:tcPr/>
          <w:p>
            <w:pPr>
              <w:pStyle w:val="Compact"/>
            </w:pPr>
            <w:r>
              <w:t xml:space="preserve">v210^c.7 = ‘Военное’</w:t>
            </w:r>
          </w:p>
        </w:tc>
        <w:tc>
          <w:tcPr/>
          <w:p>
            <w:pPr>
              <w:pStyle w:val="Compact"/>
            </w:pPr>
            <w:r>
              <w:t xml:space="preserve">Истина</w:t>
            </w:r>
          </w:p>
        </w:tc>
      </w:tr>
      <w:tr>
        <w:tc>
          <w:tcPr/>
          <w:p>
            <w:pPr>
              <w:pStyle w:val="Compact"/>
            </w:pPr>
            <w:r>
              <w:t xml:space="preserve">(v200 :</w:t>
            </w:r>
            <w:r>
              <w:t xml:space="preserve"> </w:t>
            </w:r>
            <w:r>
              <w:t xml:space="preserve">‘люди’</w:t>
            </w:r>
            <w:r>
              <w:t xml:space="preserve">) AND (v210^c.7=</w:t>
            </w:r>
            <w:r>
              <w:t xml:space="preserve"> </w:t>
            </w:r>
            <w:r>
              <w:t xml:space="preserve">‘Военное’</w:t>
            </w:r>
            <w:r>
              <w:t xml:space="preserve">)</w:t>
            </w:r>
          </w:p>
        </w:tc>
        <w:tc>
          <w:tcPr/>
          <w:p>
            <w:pPr>
              <w:pStyle w:val="Compact"/>
            </w:pPr>
            <w:r>
              <w:t xml:space="preserve">Истина</w:t>
            </w:r>
          </w:p>
        </w:tc>
      </w:tr>
    </w:tbl>
    <w:bookmarkEnd w:id="11"/>
    <w:bookmarkEnd w:id="12"/>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Выражения</dc:title>
  <dc:creator/>
  <cp:keywords/>
  <dcterms:created xsi:type="dcterms:W3CDTF">2026-10-03T06:10:11Z</dcterms:created>
  <dcterms:modified xsi:type="dcterms:W3CDTF">2026-10-03T06:10:11Z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