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 хранит экраны he3, используемые переходами и операциями Workflow.</w:t>
      </w:r>
    </w:p>
    <w:bookmarkStart w:id="15" w:name="назначение-workflowscreen"/>
    <w:p>
      <w:pPr>
        <w:pStyle w:val="Heading2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bookmarkStart w:id="16" w:name="Xbef7a5d87c4290e3f3435c65891e4d95197083e"/>
    <w:p>
      <w:pPr>
        <w:pStyle w:val="Heading2"/>
      </w:pPr>
      <w:r>
        <w:t xml:space="preserve">Повторная ссылка пропущена: Workflow/Modules/WorkflowScreen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2026-10-02T23:57:12Z</dcterms:created>
  <dcterms:modified xsi:type="dcterms:W3CDTF">2026-10-02T23:57:12Z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