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Mapping и ExternalId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mapping-и-externalid"/>
    <w:p>
      <w:pPr>
        <w:pStyle w:val="Heading1"/>
      </w:pPr>
      <w:r>
        <w:t xml:space="preserve">Mapping и ExternalId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ExternalId</w:t>
      </w:r>
      <w:r>
        <w:t xml:space="preserve"> </w:t>
      </w:r>
      <w:r>
        <w:t xml:space="preserve">являются общесистемными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интеграций. Они позволяют внешней системе однозначно связать свой объект с внутренним object type ИРБИС 128 и проверить payload до фактического применения изменений.</w:t>
      </w:r>
    </w:p>
    <w:bookmarkStart w:id="9" w:name="externalid"/>
    <w:p>
      <w:pPr>
        <w:pStyle w:val="Heading2"/>
      </w:pPr>
      <w:r>
        <w:t xml:space="preserve">1. ExternalId</w:t>
      </w:r>
    </w:p>
    <w:p>
      <w:pPr>
        <w:pStyle w:val="FirstParagraph"/>
      </w:pPr>
      <w:r>
        <w:rPr>
          <w:rStyle w:val="VerbatimChar"/>
        </w:rPr>
        <w:t xml:space="preserve">ExternalId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Внешний идентификатор</w:t>
      </w:r>
      <w:r>
        <w:t xml:space="preserve">.</w:t>
      </w:r>
    </w:p>
    <w:p>
      <w:pPr>
        <w:pStyle w:val="BodyText"/>
      </w:pPr>
      <w:r>
        <w:t xml:space="preserve">Связь включает:</w:t>
      </w:r>
    </w:p>
    <w:p>
      <w:pPr>
        <w:pStyle w:val="Compact"/>
        <w:numPr>
          <w:ilvl w:val="0"/>
          <w:numId w:val="1001"/>
        </w:numPr>
      </w:pPr>
      <w:r>
        <w:t xml:space="preserve">внешнюю систему;</w:t>
      </w:r>
    </w:p>
    <w:p>
      <w:pPr>
        <w:pStyle w:val="Compact"/>
        <w:numPr>
          <w:ilvl w:val="0"/>
          <w:numId w:val="1001"/>
        </w:numPr>
      </w:pPr>
      <w:r>
        <w:t xml:space="preserve">ключ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1"/>
        </w:numPr>
      </w:pPr>
      <w:r>
        <w:t xml:space="preserve">внешний object type;</w:t>
      </w:r>
    </w:p>
    <w:p>
      <w:pPr>
        <w:pStyle w:val="Compact"/>
        <w:numPr>
          <w:ilvl w:val="0"/>
          <w:numId w:val="1001"/>
        </w:numPr>
      </w:pPr>
      <w:r>
        <w:t xml:space="preserve">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внутренний</w:t>
      </w:r>
      <w:r>
        <w:t xml:space="preserve"> </w:t>
      </w:r>
      <w:r>
        <w:rPr>
          <w:rStyle w:val="VerbatimChar"/>
        </w:rPr>
        <w:t xml:space="preserve">recordKey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recordRef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направление использования;</w:t>
      </w:r>
    </w:p>
    <w:p>
      <w:pPr>
        <w:pStyle w:val="Compact"/>
        <w:numPr>
          <w:ilvl w:val="0"/>
          <w:numId w:val="1001"/>
        </w:numPr>
      </w:pPr>
      <w:r>
        <w:t xml:space="preserve">статус связи;</w:t>
      </w:r>
    </w:p>
    <w:p>
      <w:pPr>
        <w:pStyle w:val="Compact"/>
        <w:numPr>
          <w:ilvl w:val="0"/>
          <w:numId w:val="1001"/>
        </w:numPr>
      </w:pPr>
      <w:r>
        <w:t xml:space="preserve">источник регистрации и даты подтверждения;</w:t>
      </w:r>
    </w:p>
    <w:p>
      <w:pPr>
        <w:pStyle w:val="Compact"/>
        <w:numPr>
          <w:ilvl w:val="0"/>
          <w:numId w:val="1001"/>
        </w:numPr>
      </w:pPr>
      <w:r>
        <w:t xml:space="preserve">правило уникальности.</w:t>
      </w:r>
    </w:p>
    <w:p>
      <w:pPr>
        <w:pStyle w:val="FirstParagraph"/>
      </w:pPr>
      <w:r>
        <w:t xml:space="preserve">Lookup выполняется только в области</w:t>
      </w:r>
      <w:r>
        <w:t xml:space="preserve"> </w:t>
      </w:r>
      <w:r>
        <w:rPr>
          <w:rStyle w:val="VerbatimChar"/>
        </w:rPr>
        <w:t xml:space="preserve">adapterProfileKey + externalSystem + objectType + externalId</w:t>
      </w:r>
      <w:r>
        <w:t xml:space="preserve">. Если в этой области найдено несколько активных связей, API возвращает диагностическую ошибку и не выбирает запись случайно.</w:t>
      </w:r>
    </w:p>
    <w:bookmarkEnd w:id="9"/>
    <w:bookmarkStart w:id="10" w:name="mappingprofile"/>
    <w:p>
      <w:pPr>
        <w:pStyle w:val="Heading2"/>
      </w:pPr>
      <w:r>
        <w:t xml:space="preserve">2. MappingProfile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Профиль mapping внешней интеграции</w:t>
      </w:r>
      <w:r>
        <w:t xml:space="preserve">.</w:t>
      </w:r>
    </w:p>
    <w:p>
      <w:pPr>
        <w:pStyle w:val="BodyText"/>
      </w:pPr>
      <w:r>
        <w:t xml:space="preserve">Профиль описывает:</w:t>
      </w:r>
    </w:p>
    <w:p>
      <w:pPr>
        <w:pStyle w:val="Compact"/>
        <w:numPr>
          <w:ilvl w:val="0"/>
          <w:numId w:val="1002"/>
        </w:numPr>
      </w:pPr>
      <w:r>
        <w:t xml:space="preserve">связь с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APIContract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внутренний object type и внешний object type;</w:t>
      </w:r>
    </w:p>
    <w:p>
      <w:pPr>
        <w:pStyle w:val="Compact"/>
        <w:numPr>
          <w:ilvl w:val="0"/>
          <w:numId w:val="1002"/>
        </w:numPr>
      </w:pPr>
      <w:r>
        <w:t xml:space="preserve">направление mapping;</w:t>
      </w:r>
    </w:p>
    <w:p>
      <w:pPr>
        <w:pStyle w:val="Compact"/>
        <w:numPr>
          <w:ilvl w:val="0"/>
          <w:numId w:val="1002"/>
        </w:numPr>
      </w:pPr>
      <w:r>
        <w:t xml:space="preserve">поле payload, в котором находится external id;</w:t>
      </w:r>
    </w:p>
    <w:p>
      <w:pPr>
        <w:pStyle w:val="Compact"/>
        <w:numPr>
          <w:ilvl w:val="0"/>
          <w:numId w:val="1002"/>
        </w:numPr>
      </w:pPr>
      <w:r>
        <w:t xml:space="preserve">required permissions для проверки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mapping полей через stable field keys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mapping workflow-статусов и переходов через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resolver-а пользователей и организаций через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ссылок на файлы через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.</w:t>
      </w:r>
    </w:p>
    <w:p>
      <w:pPr>
        <w:pStyle w:val="FirstParagraph"/>
      </w:pPr>
      <w:r>
        <w:t xml:space="preserve">В mapping нельзя указывать физические номера полей, подполей, внутренние пути файлов или значения секретов. API хранит только ссылки на владельцев контрактов.</w:t>
      </w:r>
    </w:p>
    <w:bookmarkEnd w:id="10"/>
    <w:bookmarkStart w:id="11" w:name="dry-run"/>
    <w:p>
      <w:pPr>
        <w:pStyle w:val="Heading2"/>
      </w:pPr>
      <w:r>
        <w:t xml:space="preserve">3. Dry-run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 </w:t>
      </w:r>
      <w:r>
        <w:t xml:space="preserve">принимает payload и mapping context. Она возвращает normalized result, matched ExternalId, proposed changes, required permissions, warnings и errors.</w:t>
      </w:r>
    </w:p>
    <w:p>
      <w:pPr>
        <w:pStyle w:val="BodyText"/>
      </w:pPr>
      <w:r>
        <w:t xml:space="preserve">Dry-run не сохраняет запись, не создает ExternalId, не выполняет workflow-переходы, не запускает post-functions, не отправляет события и не ставит задания в Queue.</w:t>
      </w:r>
    </w:p>
    <w:p>
      <w:pPr>
        <w:pStyle w:val="BodyText"/>
      </w:pPr>
      <w:r>
        <w:t xml:space="preserve">Если интеграции нужна проверка конфликтов, source-of-truth, идемпотентность и стандартный SyncApplyRequest для доменного модуля, используется следующий слой -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и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/</w:t>
      </w:r>
      <w:r>
        <w:rPr>
          <w:rStyle w:val="VerbatimChar"/>
        </w:rPr>
        <w:t xml:space="preserve">ConflictPolicy</w:t>
      </w:r>
      <w:r>
        <w:t xml:space="preserve">.</w:t>
      </w:r>
    </w:p>
    <w:bookmarkEnd w:id="11"/>
    <w:bookmarkStart w:id="12" w:name="where-used"/>
    <w:p>
      <w:pPr>
        <w:pStyle w:val="Heading2"/>
      </w:pPr>
      <w:r>
        <w:t xml:space="preserve">4. Where-used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API/GetExternalIdWhereUsed</w:t>
      </w:r>
      <w:r>
        <w:t xml:space="preserve"> </w:t>
      </w:r>
      <w:r>
        <w:t xml:space="preserve">показывает связанные ExternalId, mapping profiles и опубликованные API-методы, которые могут использовать эти настройки. Диагностика не раскрывает закрытые записи, скрытые поля, секреты и персональные данные без прав.</w:t>
      </w:r>
    </w:p>
    <w:bookmarkEnd w:id="12"/>
    <w:bookmarkStart w:id="13" w:name="границы-ответственности"/>
    <w:p>
      <w:pPr>
        <w:pStyle w:val="Heading2"/>
      </w:pPr>
      <w:r>
        <w:t xml:space="preserve">5.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реестром ExternalId, mapping profiles, lookup, where-used, dry-run mapping и безопасной диагностикой.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фактическим применением переходов.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владеют resolver-ами участников.</w:t>
      </w:r>
    </w:p>
    <w:p>
      <w:pPr>
        <w:pStyle w:val="BodyText"/>
      </w:pP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владеют файлами, staging и постоянным хранением.</w:t>
      </w:r>
    </w:p>
    <w:p>
      <w:pPr>
        <w:pStyle w:val="BodyText"/>
      </w:pPr>
      <w:r>
        <w:t xml:space="preserve">Доменные модули применяют нормализованные изменения к своим записям и проверяют бизнес-правила.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Mapping и ExternalId</dc:title>
  <dc:creator/>
  <cp:keywords/>
  <dcterms:created xsi:type="dcterms:W3CDTF">2026-10-02T21:34:28Z</dcterms:created>
  <dcterms:modified xsi:type="dcterms:W3CDTF">2026-10-02T21:34:28Z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