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[I128-2797] Расширить Security для проектных прав, полей, действий и аудита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c73387703a603de4626b32eaacf7380348d07cc"/>
    <w:p>
      <w:pPr>
        <w:pStyle w:val="Heading1"/>
      </w:pPr>
      <w:r>
        <w:t xml:space="preserve">[I128-2797] Расширить Security для проектных прав, полей, действий и аудита доступа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Security - Подсистема безопасности,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системный модуль Security для единообразной проверки прав на проекты, записи, workflow-действия, поля, представления, публичные формы, вложения, временный доступ и аудит доступа.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Security должен быть общесистемным исполнителем permission contract. Он не должен знать доменную логику Tasks, Workflow*, VirtualRef, FT, EventBus или других модулей. Модули-владельцы предоставляют permission keys, object references, role resolvers и человекочитаемые описания, а Security принимает решение о доступе.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PermissionScheme для проектных и объектных прав: область действия, субъект, роль, permission key, grant/deny, наследование, priority и объяснение решения.</w:t>
      </w:r>
    </w:p>
    <w:p>
      <w:pPr>
        <w:numPr>
          <w:ilvl w:val="0"/>
          <w:numId w:val="1002"/>
        </w:numPr>
      </w:pPr>
      <w:r>
        <w:t xml:space="preserve">Ввести FieldSecurityScheme: права на просмотр, редактирование, обязательность, маскирование и экспорт отдельных полей через стабильные field keys, а не через частные проверки в UI.</w:t>
      </w:r>
    </w:p>
    <w:p>
      <w:pPr>
        <w:numPr>
          <w:ilvl w:val="0"/>
          <w:numId w:val="1002"/>
        </w:numPr>
      </w:pPr>
      <w:r>
        <w:t xml:space="preserve">Ввести ViewSecurityScheme: права на доступ к представлениям, спискам, карточкам, публичным страницам, вариантам mobile/print/embed и административным разделам.</w:t>
      </w:r>
    </w:p>
    <w:p>
      <w:pPr>
        <w:numPr>
          <w:ilvl w:val="0"/>
          <w:numId w:val="1002"/>
        </w:numPr>
      </w:pPr>
      <w:r>
        <w:t xml:space="preserve">Ввести права на workflow-действия: доступность перехода должна учитывать project permission, record permission, transition permission, field security и состояние записи.</w:t>
      </w:r>
    </w:p>
    <w:p>
      <w:pPr>
        <w:numPr>
          <w:ilvl w:val="0"/>
          <w:numId w:val="1002"/>
        </w:numPr>
      </w:pPr>
      <w:r>
        <w:t xml:space="preserve">Поддержать dynamic role resolvers: автор, ответственный, наблюдатель, участник проекта, организация заявителя, внешний исполнитель и другие роли, которые вычисляет модуль-владелец.</w:t>
      </w:r>
    </w:p>
    <w:p>
      <w:pPr>
        <w:numPr>
          <w:ilvl w:val="0"/>
          <w:numId w:val="1002"/>
        </w:numPr>
      </w:pPr>
      <w:r>
        <w:t xml:space="preserve">Поддержать grants и denies с понятным порядком применения. Deny должен уметь явно запрещать доступ даже при наличии более общего grant.</w:t>
      </w:r>
    </w:p>
    <w:p>
      <w:pPr>
        <w:numPr>
          <w:ilvl w:val="0"/>
          <w:numId w:val="1002"/>
        </w:numPr>
      </w:pPr>
      <w:r>
        <w:t xml:space="preserve">Реализовать temporary access: ограниченный по сроку, причине и scope доступ с возможностью отзыва и audit.</w:t>
      </w:r>
    </w:p>
    <w:p>
      <w:pPr>
        <w:numPr>
          <w:ilvl w:val="0"/>
          <w:numId w:val="1002"/>
        </w:numPr>
      </w:pPr>
      <w:r>
        <w:t xml:space="preserve">Реализовать access audit: кто, когда, к какому объекту, полю, представлению или действию получил доступ или отказ, с безопасным payload.</w:t>
      </w:r>
    </w:p>
    <w:p>
      <w:pPr>
        <w:numPr>
          <w:ilvl w:val="0"/>
          <w:numId w:val="1002"/>
        </w:numPr>
      </w:pPr>
      <w:r>
        <w:t xml:space="preserve">Реализовать explain-доступ: пользователь или администратор должен получать безопасное объяснение отказа без раскрытия скрытых данных.</w:t>
      </w:r>
    </w:p>
    <w:p>
      <w:pPr>
        <w:numPr>
          <w:ilvl w:val="0"/>
          <w:numId w:val="1002"/>
        </w:numPr>
      </w:pPr>
      <w:r>
        <w:t xml:space="preserve">Интегрировать Security с Users и Organisations для субъектов, групп, организаций, project roles и resolver-ов.</w:t>
      </w:r>
    </w:p>
    <w:p>
      <w:pPr>
        <w:numPr>
          <w:ilvl w:val="0"/>
          <w:numId w:val="1002"/>
        </w:numPr>
      </w:pPr>
      <w:r>
        <w:t xml:space="preserve">Поддержать provider-проверки для HealthCheck: битые role resolvers, неиспользуемые схемы, опасные grants, конфликт field/view/action прав.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Security не должен реализовывать доменную видимость Tasks или правила конкретного workflow-проекта; он исполняет переданный permission contract.</w:t>
      </w:r>
    </w:p>
    <w:p>
      <w:pPr>
        <w:numPr>
          <w:ilvl w:val="0"/>
          <w:numId w:val="1002"/>
        </w:numPr>
      </w:pPr>
      <w:r>
        <w:t xml:space="preserve">UI и API не должны иметь собственные обходные проверки прав вместо вызова Security.</w:t>
      </w:r>
    </w:p>
    <w:p>
      <w:pPr>
        <w:numPr>
          <w:ilvl w:val="0"/>
          <w:numId w:val="1002"/>
        </w:numPr>
      </w:pPr>
      <w:r>
        <w:t xml:space="preserve">Права на вложения и публичные формы проверяются тем же механизмом, что и внутренние права.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и то же permission decision используется в UI, API, WorkflowView, WorkflowScreen, workflow-переходе и download вложения.</w:t>
      </w:r>
    </w:p>
    <w:p>
      <w:pPr>
        <w:numPr>
          <w:ilvl w:val="0"/>
          <w:numId w:val="1002"/>
        </w:numPr>
      </w:pPr>
      <w:r>
        <w:t xml:space="preserve">Field security скрывает или маскирует поле во всех представлениях, включая карточку, список, экспорт и diagnostic output.</w:t>
      </w:r>
    </w:p>
    <w:p>
      <w:pPr>
        <w:numPr>
          <w:ilvl w:val="0"/>
          <w:numId w:val="1002"/>
        </w:numPr>
      </w:pPr>
      <w:r>
        <w:t xml:space="preserve">Transition/action security влияет на набор доступных кнопок workflow.</w:t>
      </w:r>
    </w:p>
    <w:p>
      <w:pPr>
        <w:numPr>
          <w:ilvl w:val="0"/>
          <w:numId w:val="1002"/>
        </w:numPr>
      </w:pPr>
      <w:r>
        <w:t xml:space="preserve">Temporary access можно выдать, отозвать и увидеть в audit.</w:t>
      </w:r>
    </w:p>
    <w:p>
      <w:pPr>
        <w:numPr>
          <w:ilvl w:val="0"/>
          <w:numId w:val="1002"/>
        </w:numPr>
      </w:pPr>
      <w:r>
        <w:t xml:space="preserve">Explain отказа понятен администратору и безопасен для пользователя.</w:t>
      </w:r>
    </w:p>
    <w:p>
      <w:pPr>
        <w:numPr>
          <w:ilvl w:val="0"/>
          <w:numId w:val="1002"/>
        </w:numPr>
      </w:pPr>
      <w:r>
        <w:t xml:space="preserve">HealthCheck обнаруживает конфликтные или опасные настройки прав.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grants/denies, dynamic role resolvers, field security, view security, transition/action security, public form access, attachment access, temporary access, audit и explain. В Help должны быть описаны схемы прав, порядок вычисления доступа, настройка ролей и диагностика отказов.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I128-2797 для модуля Security.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SecurityAccessDecision как общий результат проверки доступа;</w:t>
      </w:r>
      <w:r>
        <w:t xml:space="preserve"> </w:t>
      </w:r>
      <w:r>
        <w:t xml:space="preserve">- добавлены runtime registry для PermissionKey, PermissionScheme и DynamicRoleResolver definitions;</w:t>
      </w:r>
      <w:r>
        <w:t xml:space="preserve"> </w:t>
      </w:r>
      <w:r>
        <w:t xml:space="preserve">- добавлены CheckPermission, BatchCheckPermissions, CheckFieldAccess, CheckViewAccess;</w:t>
      </w:r>
      <w:r>
        <w:t xml:space="preserve"> </w:t>
      </w:r>
      <w:r>
        <w:t xml:space="preserve">- добавлен audit envelope без сохранения скрытого содержимого;</w:t>
      </w:r>
      <w:r>
        <w:t xml:space="preserve"> </w:t>
      </w:r>
      <w:r>
        <w:t xml:space="preserve">- добавлен HealthCheck provider JSON и метод Security::HealthCheck_Self для будущего HealthCheck;</w:t>
      </w:r>
      <w:r>
        <w:t xml:space="preserve"> </w:t>
      </w:r>
      <w:r>
        <w:t xml:space="preserve">- обновлены TestA и Help по новому permission decision contract.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Security не содержит доменной логики Tasks, Workflow, VirtualRef, FT или других модулей;</w:t>
      </w:r>
      <w:r>
        <w:t xml:space="preserve"> </w:t>
      </w:r>
      <w:r>
        <w:t xml:space="preserve">- для record-level объектов без новой схемы сохранен совместимый fallback на существующие права поля 113;</w:t>
      </w:r>
      <w:r>
        <w:t xml:space="preserve"> </w:t>
      </w:r>
      <w:r>
        <w:t xml:space="preserve">- field/view checks работают с логическими keys, а не с физическими номерами полей.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modules/Security/api.php;</w:t>
      </w:r>
      <w:r>
        <w:t xml:space="preserve"> </w:t>
      </w:r>
      <w:r>
        <w:t xml:space="preserve">- php -l modules/Security/Tests/Module.inc;</w:t>
      </w:r>
      <w:r>
        <w:t xml:space="preserve"> </w:t>
      </w:r>
      <w:r>
        <w:t xml:space="preserve">- JSON parse modules/Security/healthcheck/security-contract.json;</w:t>
      </w:r>
      <w:r>
        <w:t xml:space="preserve"> </w:t>
      </w:r>
      <w:r>
        <w:t xml:space="preserve">- TestA HTTP module=Security: total=5, passed=5, failed=0, blocked=0;</w:t>
      </w:r>
      <w:r>
        <w:t xml:space="preserve"> </w:t>
      </w:r>
      <w:r>
        <w:t xml:space="preserve">- git diff –check: ошибок нет, только штатные CRLF warnings.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6"/>
    <w:p>
      <w:pPr>
        <w:pStyle w:val="Heading3"/>
      </w:pPr>
      <w:r>
        <w:t xml:space="preserve">1.2. 🔗 blocks: I128-2796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8"/>
    <w:p>
      <w:pPr>
        <w:pStyle w:val="Heading3"/>
      </w:pPr>
      <w:r>
        <w:t xml:space="preserve">1.3. 🔗 blocks: I128-2798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0"/>
    <w:p>
      <w:pPr>
        <w:pStyle w:val="Heading3"/>
      </w:pPr>
      <w:r>
        <w:t xml:space="preserve">1.4. 🔗 blocks: I128-2800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1"/>
    <w:p>
      <w:pPr>
        <w:pStyle w:val="Heading3"/>
      </w:pPr>
      <w:r>
        <w:t xml:space="preserve">1.5. 🔗 blocks: I128-2801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3"/>
    <w:p>
      <w:pPr>
        <w:pStyle w:val="Heading3"/>
      </w:pPr>
      <w:r>
        <w:t xml:space="preserve">1.6. 🔗 blocks: I128-2803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4"/>
    <w:p>
      <w:pPr>
        <w:pStyle w:val="Heading3"/>
      </w:pPr>
      <w:r>
        <w:t xml:space="preserve">1.7. 🔗 blocks: I128-2804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5"/>
    <w:p>
      <w:pPr>
        <w:pStyle w:val="Heading3"/>
      </w:pPr>
      <w:r>
        <w:t xml:space="preserve">1.8. 🔗 blocks: I128-2805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6"/>
    <w:p>
      <w:pPr>
        <w:pStyle w:val="Heading3"/>
      </w:pPr>
      <w:r>
        <w:t xml:space="preserve">1.9. 🔗 blocks: I128-2806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7"/>
    <w:p>
      <w:pPr>
        <w:pStyle w:val="Heading3"/>
      </w:pPr>
      <w:r>
        <w:t xml:space="preserve">1.10. 🔗 blocks: I128-2807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8"/>
    <w:p>
      <w:pPr>
        <w:pStyle w:val="Heading3"/>
      </w:pPr>
      <w:r>
        <w:t xml:space="preserve">1.11. 🔗 blocks: I128-2808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9"/>
    <w:p>
      <w:pPr>
        <w:pStyle w:val="Heading3"/>
      </w:pPr>
      <w:r>
        <w:t xml:space="preserve">1.12. 🔗 blocks: I128-2809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0"/>
    <w:p>
      <w:pPr>
        <w:pStyle w:val="Heading3"/>
      </w:pPr>
      <w:r>
        <w:t xml:space="preserve">1.13. 🔗 blocks: I128-2810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1"/>
    <w:p>
      <w:pPr>
        <w:pStyle w:val="Heading3"/>
      </w:pPr>
      <w:r>
        <w:t xml:space="preserve">1.14. 🔗 blocks: I128-2811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13"/>
    <w:p>
      <w:pPr>
        <w:pStyle w:val="Heading3"/>
      </w:pPr>
      <w:r>
        <w:t xml:space="preserve">1.15. 🔗 blocks: I128-2813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14"/>
    <w:p>
      <w:pPr>
        <w:pStyle w:val="Heading3"/>
      </w:pPr>
      <w:r>
        <w:t xml:space="preserve">1.16. 🔗 blocks: I128-2814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6"/>
    <w:p>
      <w:pPr>
        <w:pStyle w:val="Heading3"/>
      </w:pPr>
      <w:r>
        <w:t xml:space="preserve">1.17. 🔗 blocks: I128-2816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7"/>
    <w:p>
      <w:pPr>
        <w:pStyle w:val="Heading3"/>
      </w:pPr>
      <w:r>
        <w:t xml:space="preserve">1.18. 🔗 blocks: I128-2817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8"/>
    <w:p>
      <w:pPr>
        <w:pStyle w:val="Heading3"/>
      </w:pPr>
      <w:r>
        <w:t xml:space="preserve">1.19. 🔗 blocks: I128-2818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0"/>
    <w:p>
      <w:pPr>
        <w:pStyle w:val="Heading3"/>
      </w:pPr>
      <w:r>
        <w:t xml:space="preserve">1.20. 🔗 blocks: I128-2820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1"/>
    <w:p>
      <w:pPr>
        <w:pStyle w:val="Heading3"/>
      </w:pPr>
      <w:r>
        <w:t xml:space="preserve">1.21. 🔗 blocks: I128-2821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22"/>
    <w:p>
      <w:pPr>
        <w:pStyle w:val="Heading3"/>
      </w:pPr>
      <w:r>
        <w:t xml:space="preserve">1.22. 🔗 blocks: I128-2822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24"/>
    <w:p>
      <w:pPr>
        <w:pStyle w:val="Heading3"/>
      </w:pPr>
      <w:r>
        <w:t xml:space="preserve">1.23. 🔗 blocks: I128-2824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25"/>
    <w:p>
      <w:pPr>
        <w:pStyle w:val="Heading3"/>
      </w:pPr>
      <w:r>
        <w:t xml:space="preserve">1.24. 🔗 blocks: I128-2825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26"/>
    <w:p>
      <w:pPr>
        <w:pStyle w:val="Heading3"/>
      </w:pPr>
      <w:r>
        <w:t xml:space="preserve">1.25. 🔗 blocks: I128-2826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27"/>
    <w:p>
      <w:pPr>
        <w:pStyle w:val="Heading3"/>
      </w:pPr>
      <w:r>
        <w:t xml:space="preserve">1.26. 🔗 blocks: I128-2827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28"/>
    <w:p>
      <w:pPr>
        <w:pStyle w:val="Heading3"/>
      </w:pPr>
      <w:r>
        <w:t xml:space="preserve">1.27. 🔗 blocks: I128-2828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29"/>
    <w:p>
      <w:pPr>
        <w:pStyle w:val="Heading3"/>
      </w:pPr>
      <w:r>
        <w:t xml:space="preserve">1.28. 🔗 blocks: I128-2829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0"/>
    <w:p>
      <w:pPr>
        <w:pStyle w:val="Heading3"/>
      </w:pPr>
      <w:r>
        <w:t xml:space="preserve">1.29. 🔗 blocks: I128-2830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1"/>
    <w:p>
      <w:pPr>
        <w:pStyle w:val="Heading3"/>
      </w:pPr>
      <w:r>
        <w:t xml:space="preserve">1.30. 🔗 blocks: I128-2831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2"/>
    <w:p>
      <w:pPr>
        <w:pStyle w:val="Heading3"/>
      </w:pPr>
      <w:r>
        <w:t xml:space="preserve">1.31. 🔗 blocks: I128-2832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33"/>
    <w:p>
      <w:pPr>
        <w:pStyle w:val="Heading3"/>
      </w:pPr>
      <w:r>
        <w:t xml:space="preserve">1.32. 🔗 blocks: I128-2833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834"/>
    <w:p>
      <w:pPr>
        <w:pStyle w:val="Heading3"/>
      </w:pPr>
      <w:r>
        <w:t xml:space="preserve">1.33. 🔗 blocks: I128-2834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835"/>
    <w:p>
      <w:pPr>
        <w:pStyle w:val="Heading3"/>
      </w:pPr>
      <w:r>
        <w:t xml:space="preserve">1.34. 🔗 blocks: I128-2835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Start w:id="78" w:name="blocks-i128-2836"/>
    <w:p>
      <w:pPr>
        <w:pStyle w:val="Heading3"/>
      </w:pPr>
      <w:r>
        <w:t xml:space="preserve">1.35. 🔗 blocks: I128-2836</w:t>
      </w:r>
    </w:p>
    <w:p>
      <w:pPr>
        <w:pStyle w:val="BlockText"/>
      </w:pPr>
      <w:hyperlink r:id="rId7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8"/>
    <w:bookmarkStart w:id="80" w:name="blocks-i128-2837"/>
    <w:p>
      <w:pPr>
        <w:pStyle w:val="Heading3"/>
      </w:pPr>
      <w:r>
        <w:t xml:space="preserve">1.36. 🔗 blocks: I128-2837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0"/>
    <w:bookmarkStart w:id="82" w:name="blocks-i128-2838"/>
    <w:p>
      <w:pPr>
        <w:pStyle w:val="Heading3"/>
      </w:pPr>
      <w:r>
        <w:t xml:space="preserve">1.37. 🔗 blocks: I128-2838</w:t>
      </w:r>
    </w:p>
    <w:p>
      <w:pPr>
        <w:pStyle w:val="BlockText"/>
      </w:pPr>
      <w:hyperlink r:id="rId8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2"/>
    <w:bookmarkStart w:id="84" w:name="blocks-i128-2839"/>
    <w:p>
      <w:pPr>
        <w:pStyle w:val="Heading3"/>
      </w:pPr>
      <w:r>
        <w:t xml:space="preserve">1.38. 🔗 blocks: I128-2839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840"/>
    <w:p>
      <w:pPr>
        <w:pStyle w:val="Heading3"/>
      </w:pPr>
      <w:r>
        <w:t xml:space="preserve">1.39. 🔗 blocks: I128-2840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823"/>
    <w:p>
      <w:pPr>
        <w:pStyle w:val="Heading3"/>
      </w:pPr>
      <w:r>
        <w:t xml:space="preserve">1.40. 🔗 blocks: I128-2823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[I128-2797] Расширить Security для проектных прав, полей, действий и аудита доступа</dc:title>
  <dc:creator/>
  <cp:keywords/>
  <dcterms:created xsi:type="dcterms:W3CDTF">2026-10-06T11:03:43Z</dcterms:created>
  <dcterms:modified xsi:type="dcterms:W3CDTF">2026-10-06T11:03:43Z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