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[I128-2697] Кнопка клиентского действия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7e66633255600cf5e7271428cac3f8e31670b"/>
    <w:p>
      <w:pPr>
        <w:pStyle w:val="Heading1"/>
      </w:pPr>
      <w:r>
        <w:t xml:space="preserve">[I128-2697] Кнопка клиентского действия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Редактор записи сможет показывать кнопку, которая выполняет клиентский ExtJS handler без сохранения отдельного поля в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объявляет поле с FieldEditor=ClientButton и передает текст, подсказку и handler. Редактор выводит кнопку в форме, handler может заполнить существующие поля формы или выполнить другое локальное действие.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Новый тип поля не влияет на существующие редакторы и не записывает значение в запись. Он используется только при явном FieldEditor=ClientButton.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2697: Кнопка клиентского действия в редакторе записи. Scope: he2;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feature/I128~~2697~~he2~~client~~button~~field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Кнопка клиентского действия в редакторе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modules/he2/FieldTypes/ClientButton.field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+51/-0.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Кнопка клиентского действия в редакторе записи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[I128-2697] Кнопка клиентского действия в редакторе записи</dc:title>
  <dc:creator/>
  <cp:keywords/>
  <dcterms:created xsi:type="dcterms:W3CDTF">2026-10-06T12:10:47Z</dcterms:created>
  <dcterms:modified xsi:type="dcterms:W3CDTF">2026-10-06T12:10:47Z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