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Числовые функции</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8" w:name="числовые-функции"/>
    <w:p>
      <w:pPr>
        <w:pStyle w:val="Heading1"/>
      </w:pPr>
      <w:r>
        <w:t xml:space="preserve">Числовые функции</w:t>
      </w:r>
    </w:p>
    <w:bookmarkStart w:id="9" w:name="функция-valформат"/>
    <w:p>
      <w:pPr>
        <w:pStyle w:val="Heading2"/>
      </w:pPr>
      <w:r>
        <w:t xml:space="preserve">Функция VAL(формат)</w:t>
      </w:r>
    </w:p>
    <w:p>
      <w:pPr>
        <w:pStyle w:val="FirstParagraph"/>
      </w:pPr>
      <w:r>
        <w:t xml:space="preserve">Функция VAL возвращает числовое значение своего аргумента. Аргумент - это формат, который может содержать любую допустимую команду форматирования. Сначала вычисляется аргумент, чтобы получить строку текста. Затем эта строка просматривается слева направо до тех пор, пока не будет найдено числовое значение, представленное в текстовом виде (которое может быть представлено в экспоненциальной форме). Функция VAL возвращает это числовое значение, переведенное во внутреннее машинное представление, удобное для выполнения вычислений.</w:t>
      </w:r>
    </w:p>
    <w:p>
      <w:pPr>
        <w:pStyle w:val="BodyText"/>
      </w:pPr>
      <w:r>
        <w:t xml:space="preserve">Если не найдено ни одно числовое значение, то функция возвращает значение ноль.</w:t>
      </w:r>
    </w:p>
    <w:p>
      <w:pPr>
        <w:pStyle w:val="BodyText"/>
      </w:pPr>
      <w:r>
        <w:t xml:space="preserve">Если текст содержит более, чем одно числовое значение, возвращается только первое.</w:t>
      </w:r>
    </w:p>
    <w:p>
      <w:pPr>
        <w:pStyle w:val="BodyText"/>
      </w:pPr>
      <w:r>
        <w:t xml:space="preserve">Ниже приведены примеры функции VAL (при этом предполагается, что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val (</w:t>
            </w:r>
            <w:r>
              <w:t xml:space="preserve">‘15.79’</w:t>
            </w:r>
            <w:r>
              <w:t xml:space="preserve">)</w:t>
            </w:r>
          </w:p>
        </w:tc>
        <w:tc>
          <w:tcPr/>
          <w:p>
            <w:pPr>
              <w:pStyle w:val="Compact"/>
            </w:pPr>
            <w:r>
              <w:t xml:space="preserve">15.79</w:t>
            </w:r>
          </w:p>
        </w:tc>
      </w:tr>
      <w:tr>
        <w:tc>
          <w:tcPr/>
          <w:p>
            <w:pPr>
              <w:pStyle w:val="Compact"/>
            </w:pPr>
            <w:r>
              <w:t xml:space="preserve">val (v1)</w:t>
            </w:r>
          </w:p>
        </w:tc>
        <w:tc>
          <w:tcPr/>
          <w:p>
            <w:pPr>
              <w:pStyle w:val="Compact"/>
            </w:pPr>
            <w:r>
              <w:t xml:space="preserve">10</w:t>
            </w:r>
          </w:p>
        </w:tc>
      </w:tr>
      <w:tr>
        <w:tc>
          <w:tcPr/>
          <w:p>
            <w:pPr>
              <w:pStyle w:val="Compact"/>
            </w:pPr>
            <w:r>
              <w:t xml:space="preserve">val (v1^a)</w:t>
            </w:r>
          </w:p>
        </w:tc>
        <w:tc>
          <w:tcPr/>
          <w:p>
            <w:pPr>
              <w:pStyle w:val="Compact"/>
            </w:pPr>
            <w:r>
              <w:t xml:space="preserve">10</w:t>
            </w:r>
          </w:p>
        </w:tc>
      </w:tr>
      <w:tr>
        <w:tc>
          <w:tcPr/>
          <w:p>
            <w:pPr>
              <w:pStyle w:val="Compact"/>
            </w:pPr>
            <w:r>
              <w:t xml:space="preserve">val (v2)</w:t>
            </w:r>
          </w:p>
        </w:tc>
        <w:tc>
          <w:tcPr/>
          <w:p>
            <w:pPr>
              <w:pStyle w:val="Compact"/>
            </w:pPr>
            <w:r>
              <w:t xml:space="preserve">30</w:t>
            </w:r>
          </w:p>
        </w:tc>
      </w:tr>
      <w:tr>
        <w:tc>
          <w:tcPr/>
          <w:p>
            <w:pPr>
              <w:pStyle w:val="Compact"/>
            </w:pPr>
            <w:r>
              <w:t xml:space="preserve">val (</w:t>
            </w:r>
            <w:r>
              <w:t xml:space="preserve">“19”</w:t>
            </w:r>
            <w:r>
              <w:t xml:space="preserve">v1^b)</w:t>
            </w:r>
          </w:p>
        </w:tc>
        <w:tc>
          <w:tcPr/>
          <w:p>
            <w:pPr>
              <w:pStyle w:val="Compact"/>
            </w:pPr>
            <w:r>
              <w:t xml:space="preserve">1920</w:t>
            </w:r>
          </w:p>
        </w:tc>
      </w:tr>
      <w:tr>
        <w:tc>
          <w:tcPr/>
          <w:p>
            <w:pPr>
              <w:pStyle w:val="Compact"/>
            </w:pPr>
            <w:r>
              <w:t xml:space="preserve">val (</w:t>
            </w:r>
            <w:r>
              <w:t xml:space="preserve">‘xxxx7yyy8zzzz’</w:t>
            </w:r>
            <w:r>
              <w:t xml:space="preserve">)</w:t>
            </w:r>
          </w:p>
        </w:tc>
        <w:tc>
          <w:tcPr/>
          <w:p>
            <w:pPr>
              <w:pStyle w:val="Compact"/>
            </w:pPr>
            <w:r>
              <w:t xml:space="preserve">7</w:t>
            </w:r>
          </w:p>
        </w:tc>
      </w:tr>
      <w:tr>
        <w:tc>
          <w:tcPr/>
          <w:p>
            <w:pPr>
              <w:pStyle w:val="Compact"/>
            </w:pPr>
            <w:r>
              <w:t xml:space="preserve">val (</w:t>
            </w:r>
            <w:r>
              <w:t xml:space="preserve">‘abs.5.8е-4 ml’</w:t>
            </w:r>
            <w:r>
              <w:t xml:space="preserve">)</w:t>
            </w:r>
          </w:p>
        </w:tc>
        <w:tc>
          <w:tcPr/>
          <w:p>
            <w:pPr>
              <w:pStyle w:val="Compact"/>
            </w:pPr>
            <w:r>
              <w:t xml:space="preserve">0.00058</w:t>
            </w:r>
          </w:p>
        </w:tc>
      </w:tr>
      <w:tr>
        <w:tc>
          <w:tcPr/>
          <w:p>
            <w:pPr>
              <w:pStyle w:val="Compact"/>
            </w:pPr>
            <w:r>
              <w:t xml:space="preserve">val (</w:t>
            </w:r>
            <w:r>
              <w:t xml:space="preserve">‘вода’</w:t>
            </w:r>
            <w:r>
              <w:t xml:space="preserve">)</w:t>
            </w:r>
          </w:p>
        </w:tc>
        <w:tc>
          <w:tcPr/>
          <w:p>
            <w:pPr>
              <w:pStyle w:val="Compact"/>
            </w:pPr>
            <w:r>
              <w:t xml:space="preserve">0</w:t>
            </w:r>
          </w:p>
        </w:tc>
      </w:tr>
      <w:tr>
        <w:tc>
          <w:tcPr/>
          <w:p>
            <w:pPr>
              <w:pStyle w:val="Compact"/>
            </w:pPr>
            <w:r>
              <w:t xml:space="preserve">val (</w:t>
            </w:r>
            <w:r>
              <w:t xml:space="preserve">‘Июль-Август 1985’</w:t>
            </w:r>
            <w:r>
              <w:t xml:space="preserve">)</w:t>
            </w:r>
          </w:p>
        </w:tc>
        <w:tc>
          <w:tcPr/>
          <w:p>
            <w:pPr>
              <w:pStyle w:val="Compact"/>
            </w:pPr>
            <w:r>
              <w:t xml:space="preserve">0</w:t>
            </w:r>
          </w:p>
        </w:tc>
      </w:tr>
    </w:tbl>
    <w:p>
      <w:pPr>
        <w:pStyle w:val="BodyText"/>
      </w:pPr>
      <w:r>
        <w:t xml:space="preserve">В этом примере в последней строке значение 0 (а не 1985), так как система рассматривает минус между словами Июль и Август как начало отрицательного числового значения, а букву А от Август как его конец, поэтому выбранное значение получается просто</w:t>
      </w:r>
      <w:r>
        <w:t xml:space="preserve"> </w:t>
      </w:r>
      <w:r>
        <w:t xml:space="preserve">‘-’</w:t>
      </w:r>
      <w:r>
        <w:t xml:space="preserve"> </w:t>
      </w:r>
      <w:r>
        <w:t xml:space="preserve">и результатом выполнения функции является 0. В связи с этим, для тех полей или подполей, которые будут использоваться для вычислений, важно с самого начала четко определить правила ввода данных.</w:t>
      </w:r>
    </w:p>
    <w:bookmarkEnd w:id="9"/>
    <w:bookmarkStart w:id="11" w:name="функция-rsumформат"/>
    <w:p>
      <w:pPr>
        <w:pStyle w:val="Heading2"/>
      </w:pPr>
      <w:r>
        <w:t xml:space="preserve">Функция RSUM(формат)</w:t>
      </w:r>
    </w:p>
    <w:p>
      <w:pPr>
        <w:pStyle w:val="FirstParagraph"/>
      </w:pPr>
      <w:r>
        <w:t xml:space="preserve">Функция RSUM возвращает сумму одного или более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все содержащиеся в ней числовые значения складываются. Полученная сумма является значением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RSUM может использоваться для вычисления суммы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 2, 3 и 4,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rsum (</w:t>
            </w:r>
            <w:r>
              <w:t xml:space="preserve">‘10,20,30’</w:t>
            </w:r>
            <w:r>
              <w:t xml:space="preserve">)</w:t>
            </w:r>
          </w:p>
        </w:tc>
        <w:tc>
          <w:tcPr/>
          <w:p>
            <w:pPr>
              <w:pStyle w:val="Compact"/>
            </w:pPr>
            <w:r>
              <w:t xml:space="preserve">60</w:t>
            </w:r>
          </w:p>
        </w:tc>
      </w:tr>
      <w:tr>
        <w:tc>
          <w:tcPr/>
          <w:p>
            <w:pPr>
              <w:pStyle w:val="Compact"/>
            </w:pPr>
            <w:r>
              <w:t xml:space="preserve">rsum (v1|;|)</w:t>
            </w:r>
          </w:p>
        </w:tc>
        <w:tc>
          <w:tcPr/>
          <w:p>
            <w:pPr>
              <w:pStyle w:val="Compact"/>
            </w:pPr>
            <w:r>
              <w:t xml:space="preserve">10</w:t>
            </w:r>
          </w:p>
        </w:tc>
      </w:tr>
      <w:tr>
        <w:tc>
          <w:tcPr/>
          <w:p>
            <w:pPr>
              <w:pStyle w:val="Compact"/>
            </w:pPr>
            <w:r>
              <w:t xml:space="preserve">rsum (v1|,|,</w:t>
            </w:r>
            <w:r>
              <w:t xml:space="preserve">‘48,3.5’</w:t>
            </w:r>
            <w:r>
              <w:t xml:space="preserve">)</w:t>
            </w:r>
          </w:p>
        </w:tc>
        <w:tc>
          <w:tcPr/>
          <w:p>
            <w:pPr>
              <w:pStyle w:val="Compact"/>
            </w:pPr>
            <w:r>
              <w:t xml:space="preserve">61.5</w:t>
            </w:r>
          </w:p>
        </w:tc>
      </w:tr>
    </w:tbl>
    <w:bookmarkEnd w:id="11"/>
    <w:bookmarkStart w:id="12" w:name="функция-rminформат"/>
    <w:p>
      <w:pPr>
        <w:pStyle w:val="Heading2"/>
      </w:pPr>
      <w:r>
        <w:t xml:space="preserve">Функция RMIN(формат)</w:t>
      </w:r>
    </w:p>
    <w:p>
      <w:pPr>
        <w:pStyle w:val="FirstParagraph"/>
      </w:pPr>
      <w:r>
        <w:t xml:space="preserve">Функция RMIN возвращает минимальное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просматривае-ся слева направо, как и в функции</w:t>
      </w:r>
      <w:r>
        <w:t xml:space="preserve"> </w:t>
      </w:r>
      <w:hyperlink r:id="rId10">
        <w:r>
          <w:rPr>
            <w:rStyle w:val="Hyperlink"/>
          </w:rPr>
          <w:t xml:space="preserve">VAL</w:t>
        </w:r>
      </w:hyperlink>
      <w:r>
        <w:t xml:space="preserve">, и из нее извлекаются все числа. Алгебраически наименьшее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RMIN может использоваться для вычисления минимального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rmin (</w:t>
            </w:r>
            <w:r>
              <w:t xml:space="preserve">‘1,2,-3’</w:t>
            </w:r>
            <w:r>
              <w:t xml:space="preserve">)</w:t>
            </w:r>
          </w:p>
        </w:tc>
        <w:tc>
          <w:tcPr/>
          <w:p>
            <w:pPr>
              <w:pStyle w:val="Compact"/>
            </w:pPr>
            <w:r>
              <w:t xml:space="preserve">-3</w:t>
            </w:r>
          </w:p>
        </w:tc>
      </w:tr>
      <w:tr>
        <w:tc>
          <w:tcPr/>
          <w:p>
            <w:pPr>
              <w:pStyle w:val="Compact"/>
            </w:pPr>
            <w:r>
              <w:t xml:space="preserve">rmin (v1|;|)</w:t>
            </w:r>
          </w:p>
        </w:tc>
        <w:tc>
          <w:tcPr/>
          <w:p>
            <w:pPr>
              <w:pStyle w:val="Compact"/>
            </w:pPr>
            <w:r>
              <w:t xml:space="preserve">10</w:t>
            </w:r>
          </w:p>
        </w:tc>
      </w:tr>
      <w:tr>
        <w:tc>
          <w:tcPr/>
          <w:p>
            <w:pPr>
              <w:pStyle w:val="Compact"/>
            </w:pPr>
            <w:r>
              <w:t xml:space="preserve">rmin (v1|,|,</w:t>
            </w:r>
            <w:r>
              <w:t xml:space="preserve">‘48,3.5’</w:t>
            </w:r>
            <w:r>
              <w:t xml:space="preserve">)</w:t>
            </w:r>
          </w:p>
        </w:tc>
        <w:tc>
          <w:tcPr/>
          <w:p>
            <w:pPr>
              <w:pStyle w:val="Compact"/>
            </w:pPr>
            <w:r>
              <w:t xml:space="preserve">3.5</w:t>
            </w:r>
          </w:p>
        </w:tc>
      </w:tr>
    </w:tbl>
    <w:bookmarkEnd w:id="12"/>
    <w:bookmarkStart w:id="13" w:name="функция-rmaxформат"/>
    <w:p>
      <w:pPr>
        <w:pStyle w:val="Heading2"/>
      </w:pPr>
      <w:r>
        <w:t xml:space="preserve">Функция RMAX(формат)</w:t>
      </w:r>
    </w:p>
    <w:p>
      <w:pPr>
        <w:pStyle w:val="FirstParagraph"/>
      </w:pPr>
      <w:r>
        <w:t xml:space="preserve">Функция RMAX возвращает максимальное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из нее извлекаются все числа. Алгебраически наибольшее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RMAX может использоваться для вычисления максимального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rmax (</w:t>
            </w:r>
            <w:r>
              <w:t xml:space="preserve">‘1, 2, -3’</w:t>
            </w:r>
            <w:r>
              <w:t xml:space="preserve">)</w:t>
            </w:r>
          </w:p>
        </w:tc>
        <w:tc>
          <w:tcPr/>
          <w:p>
            <w:pPr>
              <w:pStyle w:val="Compact"/>
            </w:pPr>
            <w:r>
              <w:t xml:space="preserve">2</w:t>
            </w:r>
          </w:p>
        </w:tc>
      </w:tr>
      <w:tr>
        <w:tc>
          <w:tcPr/>
          <w:p>
            <w:pPr>
              <w:pStyle w:val="Compact"/>
            </w:pPr>
            <w:r>
              <w:t xml:space="preserve">rmax (v1|;|)</w:t>
            </w:r>
          </w:p>
        </w:tc>
        <w:tc>
          <w:tcPr/>
          <w:p>
            <w:pPr>
              <w:pStyle w:val="Compact"/>
            </w:pPr>
            <w:r>
              <w:t xml:space="preserve">40</w:t>
            </w:r>
          </w:p>
        </w:tc>
      </w:tr>
      <w:tr>
        <w:tc>
          <w:tcPr/>
          <w:p>
            <w:pPr>
              <w:pStyle w:val="Compact"/>
            </w:pPr>
            <w:r>
              <w:t xml:space="preserve">rmax (v1|,|,</w:t>
            </w:r>
            <w:r>
              <w:t xml:space="preserve">‘48,3.5’</w:t>
            </w:r>
            <w:r>
              <w:t xml:space="preserve">)</w:t>
            </w:r>
          </w:p>
        </w:tc>
        <w:tc>
          <w:tcPr/>
          <w:p>
            <w:pPr>
              <w:pStyle w:val="Compact"/>
            </w:pPr>
            <w:r>
              <w:t xml:space="preserve">48</w:t>
            </w:r>
          </w:p>
        </w:tc>
      </w:tr>
    </w:tbl>
    <w:bookmarkEnd w:id="13"/>
    <w:bookmarkStart w:id="14" w:name="функция-ravrформат"/>
    <w:p>
      <w:pPr>
        <w:pStyle w:val="Heading2"/>
      </w:pPr>
      <w:r>
        <w:t xml:space="preserve">Функция RAVR(формат)</w:t>
      </w:r>
    </w:p>
    <w:p>
      <w:pPr>
        <w:pStyle w:val="FirstParagraph"/>
      </w:pPr>
      <w:r>
        <w:t xml:space="preserve">Функция RAVR возвращает среднее арифметическое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из нее извлекаются все числа. Вычисленное среднее значение извлеченных чисел и будет результатом функции. Отдельные числовые значения должны быть разделены, по крайней мере, одним нечисловым символом, поэтому необходимо предусмотреть, чтобы такое разделение в формате присутствовало. Функция RAVR может использоваться для вычисления среднего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ravr (</w:t>
            </w:r>
            <w:r>
              <w:t xml:space="preserve">‘1, 2, -3’</w:t>
            </w:r>
            <w:r>
              <w:t xml:space="preserve">)</w:t>
            </w:r>
          </w:p>
        </w:tc>
        <w:tc>
          <w:tcPr/>
          <w:p>
            <w:pPr>
              <w:pStyle w:val="Compact"/>
            </w:pPr>
            <w:r>
              <w:t xml:space="preserve">0</w:t>
            </w:r>
          </w:p>
        </w:tc>
      </w:tr>
      <w:tr>
        <w:tc>
          <w:tcPr/>
          <w:p>
            <w:pPr>
              <w:pStyle w:val="Compact"/>
            </w:pPr>
            <w:r>
              <w:t xml:space="preserve">ravr (v1|;|)</w:t>
            </w:r>
          </w:p>
        </w:tc>
        <w:tc>
          <w:tcPr/>
          <w:p>
            <w:pPr>
              <w:pStyle w:val="Compact"/>
            </w:pPr>
            <w:r>
              <w:t xml:space="preserve">25</w:t>
            </w:r>
          </w:p>
        </w:tc>
      </w:tr>
      <w:tr>
        <w:tc>
          <w:tcPr/>
          <w:p>
            <w:pPr>
              <w:pStyle w:val="Compact"/>
            </w:pPr>
            <w:r>
              <w:t xml:space="preserve">ravr (v1|,|,</w:t>
            </w:r>
            <w:r>
              <w:t xml:space="preserve">‘48,3.5’</w:t>
            </w:r>
            <w:r>
              <w:t xml:space="preserve">)</w:t>
            </w:r>
          </w:p>
        </w:tc>
        <w:tc>
          <w:tcPr/>
          <w:p>
            <w:pPr>
              <w:pStyle w:val="Compact"/>
            </w:pPr>
            <w:r>
              <w:t xml:space="preserve">25.25</w:t>
            </w:r>
          </w:p>
        </w:tc>
      </w:tr>
    </w:tbl>
    <w:bookmarkEnd w:id="14"/>
    <w:bookmarkStart w:id="17" w:name="функция-lформат"/>
    <w:p>
      <w:pPr>
        <w:pStyle w:val="Heading2"/>
      </w:pPr>
      <w:r>
        <w:t xml:space="preserve">Функция L(формат)</w:t>
      </w:r>
    </w:p>
    <w:p>
      <w:pPr>
        <w:pStyle w:val="FirstParagraph"/>
      </w:pPr>
      <w:r>
        <w:t xml:space="preserve">Функция L использует текст, полученный в результате вычисления аргумента, в качестве термина доступа для инвертированного файла и возвращает MFN первой ссылки на этот термин, если она есть. Перед поиском в инвертированном файле термин автоматически переводится в прописные буквы. Если термин не найден, то функция принимает значение ноль. Функция L обычно используется вместе с функцией</w:t>
      </w:r>
      <w:r>
        <w:t xml:space="preserve"> </w:t>
      </w:r>
      <w:hyperlink r:id="rId15">
        <w:r>
          <w:rPr>
            <w:rStyle w:val="Hyperlink"/>
          </w:rPr>
          <w:t xml:space="preserve">REF</w:t>
        </w:r>
      </w:hyperlink>
      <w:r>
        <w:t xml:space="preserve">.</w:t>
      </w:r>
    </w:p>
    <w:p>
      <w:pPr>
        <w:pStyle w:val="BodyText"/>
      </w:pPr>
      <w:r>
        <w:t xml:space="preserve">@@</w:t>
      </w:r>
      <w:r>
        <w:t xml:space="preserve">@warn</w:t>
      </w:r>
      <w:r>
        <w:t xml:space="preserve"> </w:t>
      </w:r>
      <w:r>
        <w:t xml:space="preserve">Формат, расположенный в аргументе, вычисляется с использованием текущего</w:t>
      </w:r>
      <w:r>
        <w:t xml:space="preserve"> </w:t>
      </w:r>
      <w:hyperlink r:id="rId16">
        <w:r>
          <w:rPr>
            <w:rStyle w:val="Hyperlink"/>
          </w:rPr>
          <w:t xml:space="preserve">режима вывода</w:t>
        </w:r>
      </w:hyperlink>
      <w:r>
        <w:t xml:space="preserve">. Это является существенным, так как использование неправильного режима может привести к тому, что термин не будет найден в инвертированном файле. Как правило, следует использовать тот же режим, который применяется в ТВП для инвертированного файла.</w:t>
      </w:r>
      <w:r>
        <w:t xml:space="preserve"> </w:t>
      </w:r>
      <w:r>
        <w:t xml:space="preserve">@@@</w:t>
      </w:r>
    </w:p>
    <w:bookmarkEnd w:id="17"/>
    <w:bookmarkEnd w:id="18"/>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hyperlink" Id="rId15" Target="?id=Help/Show&amp;m=Help/Help/GeneralDescription/Pft/Functions/ref" TargetMode="External" /><Relationship Type="http://schemas.openxmlformats.org/officeDocument/2006/relationships/hyperlink" Id="rId10" Target="?id=Help/Show&amp;m=Help/Help/GeneralDescription/Pft/Functions/val" TargetMode="External" /><Relationship Type="http://schemas.openxmlformats.org/officeDocument/2006/relationships/hyperlink" Id="rId16" Target="?id=Help/Show&amp;m=Help/Help/GeneralDescription/Pft/OutputModeCommands" TargetMode="External" /></Relationships>
</file>

<file path=word/_rels/footnotes.xml.rels><?xml version="1.0" encoding="UTF-8"?><Relationships xmlns="http://schemas.openxmlformats.org/package/2006/relationships"><Relationship Type="http://schemas.openxmlformats.org/officeDocument/2006/relationships/hyperlink" Id="rId15" Target="?id=Help/Show&amp;m=Help/Help/GeneralDescription/Pft/Functions/ref" TargetMode="External" /><Relationship Type="http://schemas.openxmlformats.org/officeDocument/2006/relationships/hyperlink" Id="rId10" Target="?id=Help/Show&amp;m=Help/Help/GeneralDescription/Pft/Functions/val" TargetMode="External" /><Relationship Type="http://schemas.openxmlformats.org/officeDocument/2006/relationships/hyperlink" Id="rId16" Target="?id=Help/Show&amp;m=Help/Help/GeneralDescription/Pft/OutputModeCommands"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Числовые функции</dc:title>
  <dc:creator/>
  <cp:keywords/>
  <dcterms:created xsi:type="dcterms:W3CDTF">2026-10-08T21:05:59Z</dcterms:created>
  <dcterms:modified xsi:type="dcterms:W3CDTF">2026-10-08T21:05:59Z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