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API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1" w:name="api-ирбис-64128"/>
    <w:p>
      <w:pPr>
        <w:pStyle w:val="Heading1"/>
      </w:pPr>
      <w:r>
        <w:t xml:space="preserve">API ИРБИС 64/128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объединяет сервисы ИРБИС 64/128 для внешних приложений. Через него интеграционные клиенты могут обращаться к функциям читателей, заказов, продления, поиска записей, терминов, фасетов и сведений об экземплярах.</w:t>
      </w:r>
    </w:p>
    <w:p>
      <w:pPr>
        <w:pStyle w:val="BodyText"/>
      </w:pPr>
      <w:r>
        <w:t xml:space="preserve">Модуль также хранит реестр API-контрактов, профили внешней интеграции, mapping profiles, ExternalId, SyncPolicy и ConflictPolicy. Контракты описывают опубликованные методы, версии, транспорты, права, идемпотентность, диагностику и TestA-проверки. Профили интеграции ссылаются на контракт и настройки transport/security/secrets, но не содержат значений секретов. Mapping profiles и ExternalId задают безопасное сопоставление внешних объектов с внутренними object types без записи внешних ключей в частные поля доменных модулей. SyncPolicy и ConflictPolicy позволяют построить объяснимый план синхронизации без прямого изменения доменных записей внутри API.</w:t>
      </w:r>
    </w:p>
    <w:bookmarkStart w:id="15" w:name="назначение-модуля-api"/>
    <w:p>
      <w:pPr>
        <w:pStyle w:val="Heading2"/>
      </w:pPr>
      <w:r>
        <w:t xml:space="preserve">Назначение модуля API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предоставляет единый JSON-RPC сервер для интеграции внешних приложений с ИРБИС 128 и владеет реестром публичных API-контрактов. Модуль собирает в одной точке методы, которые внутри системы выполняются модулями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</w:t>
      </w:r>
      <w:r>
        <w:t xml:space="preserve">,</w:t>
      </w:r>
      <w:r>
        <w:t xml:space="preserve"> </w:t>
      </w:r>
      <w:r>
        <w:rPr>
          <w:rStyle w:val="VerbatimChar"/>
        </w:rPr>
        <w:t xml:space="preserve">EC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и дает им стабильное metadata-описание.</w:t>
      </w:r>
    </w:p>
    <w:p>
      <w:pPr>
        <w:pStyle w:val="BodyText"/>
      </w:pPr>
      <w:r>
        <w:t xml:space="preserve">Административные записи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используются для API-контрактов, профилей внешней интеграции, mapping profiles, ExternalId, SyncPolicy и ConflictPolicy. Контракт фиксирует ключ, версию, статус публикации, методы, ресурсы, transport references, права, идемпотентность, Help и TestA. Профиль интеграции ссылается на контракт и задает внешнюю систему, направление обмена, transport profile, security subject и ссылки на Secrets. MappingProfile описывает сопоставление внешних полей, статусов, участников и файлов с системными контрактами ИРБИС 128. ExternalId связывает внешний идентификатор с внутренним object type и record reference. SyncPolicy и ConflictPolicy описывают dry-run sync, explainable diff и безопасный contract передачи изменений доменному модулю.</w:t>
      </w:r>
    </w:p>
    <w:p>
      <w:pPr>
        <w:pStyle w:val="BodyText"/>
      </w:pPr>
      <w:r>
        <w:t xml:space="preserve">Основная точка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Параметр</w:t>
      </w:r>
      <w:r>
        <w:t xml:space="preserve"> </w:t>
      </w:r>
      <w:r>
        <w:rPr>
          <w:rStyle w:val="VerbatimChar"/>
        </w:rPr>
        <w:t xml:space="preserve">i128Module=API</w:t>
      </w:r>
      <w:r>
        <w:t xml:space="preserve"> </w:t>
      </w:r>
      <w:r>
        <w:t xml:space="preserve">выбирает JSON-RPC сервер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.</w:t>
      </w:r>
    </w:p>
    <w:bookmarkStart w:id="14" w:name="группы-методов"/>
    <w:p>
      <w:pPr>
        <w:pStyle w:val="Heading3"/>
      </w:pPr>
      <w:r>
        <w:t xml:space="preserve">1. Группы методов</w:t>
      </w:r>
    </w:p>
    <w:p>
      <w:pPr>
        <w:pStyle w:val="Compact"/>
        <w:numPr>
          <w:ilvl w:val="0"/>
          <w:numId w:val="1001"/>
        </w:numPr>
      </w:pPr>
      <w:r>
        <w:t xml:space="preserve">учетные записи читателей:</w:t>
      </w:r>
      <w:r>
        <w:t xml:space="preserve"> </w:t>
      </w:r>
      <w:r>
        <w:rPr>
          <w:rStyle w:val="VerbatimChar"/>
        </w:rPr>
        <w:t xml:space="preserve">GetUser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AddUser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UserFormular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заказы и продление:</w:t>
      </w:r>
      <w:r>
        <w:t xml:space="preserve"> </w:t>
      </w:r>
      <w:r>
        <w:rPr>
          <w:rStyle w:val="VerbatimChar"/>
        </w:rPr>
        <w:t xml:space="preserve">MakeOrder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DeleteOrder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GetOrders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BookReturnProlongation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сведения об экземплярах:</w:t>
      </w:r>
      <w:r>
        <w:t xml:space="preserve"> </w:t>
      </w:r>
      <w:r>
        <w:rPr>
          <w:rStyle w:val="VerbatimChar"/>
        </w:rPr>
        <w:t xml:space="preserve">GetExemplarsInfo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.</w:t>
      </w:r>
    </w:p>
    <w:p>
      <w:pPr>
        <w:pStyle w:val="FirstParagraph"/>
      </w:pPr>
      <w:r>
        <w:t xml:space="preserve">Описание параметров и возвращаемых значений находится в разделе</w:t>
      </w:r>
      <w:r>
        <w:t xml:space="preserve"> </w:t>
      </w:r>
      <w:hyperlink r:id="rId9">
        <w:r>
          <w:rPr>
            <w:rStyle w:val="Hyperlink"/>
          </w:rPr>
          <w:t xml:space="preserve">JSON-RPC API модуля API</w:t>
        </w:r>
      </w:hyperlink>
      <w:r>
        <w:t xml:space="preserve">.</w:t>
      </w:r>
    </w:p>
    <w:p>
      <w:pPr>
        <w:pStyle w:val="BodyText"/>
      </w:pPr>
      <w:r>
        <w:t xml:space="preserve">Описание contract registry, профилей интеграции, mapping, ExternalId и sync/conflict policies находится в разделах</w:t>
      </w:r>
      <w:r>
        <w:t xml:space="preserve"> </w:t>
      </w:r>
      <w:hyperlink r:id="rId10">
        <w:r>
          <w:rPr>
            <w:rStyle w:val="Hyperlink"/>
          </w:rPr>
          <w:t xml:space="preserve">API-контракты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Профили внешней интеграции</w:t>
        </w:r>
      </w:hyperlink>
      <w:r>
        <w:t xml:space="preserve">,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 </w:t>
      </w:r>
      <w:r>
        <w:t xml:space="preserve">и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4"/>
    <w:bookmarkEnd w:id="15"/>
    <w:bookmarkStart w:id="20" w:name="api-контракты"/>
    <w:p>
      <w:pPr>
        <w:pStyle w:val="Heading2"/>
      </w:pPr>
      <w:r>
        <w:t xml:space="preserve">API-контракты</w:t>
      </w:r>
    </w:p>
    <w:p>
      <w:pPr>
        <w:pStyle w:val="FirstParagraph"/>
      </w:pPr>
      <w:r>
        <w:t xml:space="preserve">API-контракт описывает опубликованную API-поверхность ИРБИС 128: стабильный ключ, версию, статус публикации, список методов и ресурсов, supported transports, права, идемпотентность, диагностику, Help и TestA-проверки.</w:t>
      </w:r>
    </w:p>
    <w:bookmarkStart w:id="16" w:name="системный-контракт"/>
    <w:p>
      <w:pPr>
        <w:pStyle w:val="Heading3"/>
      </w:pPr>
      <w:r>
        <w:t xml:space="preserve">1. Системный контракт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автоматически публикует контракт</w:t>
      </w:r>
      <w:r>
        <w:t xml:space="preserve"> </w:t>
      </w:r>
      <w:r>
        <w:rPr>
          <w:rStyle w:val="VerbatimChar"/>
        </w:rPr>
        <w:t xml:space="preserve">api.legacy-jsonrpc.v1</w:t>
      </w:r>
      <w:r>
        <w:t xml:space="preserve">. Он описывает существующую JSON-RPC точку:</w:t>
      </w:r>
    </w:p>
    <w:p>
      <w:pPr>
        <w:pStyle w:val="SourceCode"/>
      </w:pPr>
      <w:r>
        <w:rPr>
          <w:rStyle w:val="VerbatimChar"/>
        </w:rPr>
        <w:t xml:space="preserve">JSONRPC.php?i128Module=API</w:t>
      </w:r>
    </w:p>
    <w:p>
      <w:pPr>
        <w:pStyle w:val="FirstParagraph"/>
      </w:pPr>
      <w:r>
        <w:t xml:space="preserve">Поведение legacy JSON-RPC методов при этом не меняется. Контракт только делает их metadata машиночитаемой для администраторов, внешних потребителей, HealthCheck и TestA.</w:t>
      </w:r>
    </w:p>
    <w:bookmarkEnd w:id="16"/>
    <w:bookmarkStart w:id="17" w:name="записи-api-контрактов"/>
    <w:p>
      <w:pPr>
        <w:pStyle w:val="Heading3"/>
      </w:pPr>
      <w:r>
        <w:t xml:space="preserve">2. Записи API-контрактов</w:t>
      </w:r>
    </w:p>
    <w:p>
      <w:pPr>
        <w:pStyle w:val="FirstParagraph"/>
      </w:pPr>
      <w:r>
        <w:t xml:space="preserve">Дополнительный контракт можно завести как управляемую запись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с типом записи</w:t>
      </w:r>
      <w:r>
        <w:t xml:space="preserve"> </w:t>
      </w:r>
      <w:r>
        <w:rPr>
          <w:rStyle w:val="VerbatimChar"/>
        </w:rPr>
        <w:t xml:space="preserve">API-контракт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Ключ</w:t>
      </w:r>
      <w:r>
        <w:t xml:space="preserve"> </w:t>
      </w:r>
      <w:r>
        <w:t xml:space="preserve">- стабильный технический ключ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Название</w:t>
      </w:r>
      <w:r>
        <w:t xml:space="preserve"> </w:t>
      </w:r>
      <w:r>
        <w:t xml:space="preserve">- человекочитаемое имя для администратора.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Версия</w:t>
      </w:r>
      <w:r>
        <w:t xml:space="preserve"> </w:t>
      </w:r>
      <w:r>
        <w:t xml:space="preserve">- версия контракта.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Статус публикации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Черновик</w:t>
      </w:r>
      <w:r>
        <w:t xml:space="preserve">,</w:t>
      </w:r>
      <w:r>
        <w:t xml:space="preserve"> </w:t>
      </w:r>
      <w:r>
        <w:rPr>
          <w:rStyle w:val="VerbatimChar"/>
        </w:rPr>
        <w:t xml:space="preserve">Опубликован</w:t>
      </w:r>
      <w:r>
        <w:t xml:space="preserve">,</w:t>
      </w:r>
      <w:r>
        <w:t xml:space="preserve"> </w:t>
      </w:r>
      <w:r>
        <w:rPr>
          <w:rStyle w:val="VerbatimChar"/>
        </w:rPr>
        <w:t xml:space="preserve">Устаревает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Выключен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Транспорты</w:t>
      </w:r>
      <w:r>
        <w:t xml:space="preserve"> </w:t>
      </w:r>
      <w:r>
        <w:t xml:space="preserve">- ссылки на transport-layer, например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Методы</w:t>
      </w:r>
      <w:r>
        <w:t xml:space="preserve"> </w:t>
      </w:r>
      <w:r>
        <w:t xml:space="preserve">- методы, входящие в контракт.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Ресурсы</w:t>
      </w:r>
      <w:r>
        <w:t xml:space="preserve"> </w:t>
      </w:r>
      <w:r>
        <w:t xml:space="preserve">- логические ресурсы контракта.</w:t>
      </w:r>
    </w:p>
    <w:p>
      <w:pPr>
        <w:pStyle w:val="FirstParagraph"/>
      </w:pPr>
      <w:r>
        <w:t xml:space="preserve">Черновики не попадают в обычный публичный экспорт. Они доступны для административных проверок и HealthCheck при включении</w:t>
      </w:r>
      <w:r>
        <w:t xml:space="preserve"> </w:t>
      </w:r>
      <w:r>
        <w:rPr>
          <w:rStyle w:val="VerbatimChar"/>
        </w:rPr>
        <w:t xml:space="preserve">includeDraft</w:t>
      </w:r>
      <w:r>
        <w:t xml:space="preserve">.</w:t>
      </w:r>
    </w:p>
    <w:bookmarkEnd w:id="17"/>
    <w:bookmarkStart w:id="18" w:name="границы-ответственности"/>
    <w:p>
      <w:pPr>
        <w:pStyle w:val="Heading3"/>
      </w:pPr>
      <w:r>
        <w:t xml:space="preserve">3.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contract registry, версиями методов и ресурсов, metadata, idempotency contract и API diagnostics.</w:t>
      </w:r>
    </w:p>
    <w:p>
      <w:pPr>
        <w:pStyle w:val="BodyText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REST</w:t>
      </w:r>
      <w:r>
        <w:t xml:space="preserve"> </w:t>
      </w:r>
      <w:r>
        <w:t xml:space="preserve">остаются transport-слоями. Они принимают запросы и маршрутизируют вызовы, но не владеют API-контрактами.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хранит только metadata о требуемых правах и обязан обращаться к Security в runtime-операциях.</w:t>
      </w:r>
    </w:p>
    <w:p>
      <w:pPr>
        <w:pStyle w:val="BodyText"/>
      </w:pPr>
      <w:r>
        <w:rPr>
          <w:rStyle w:val="VerbatimChar"/>
        </w:rPr>
        <w:t xml:space="preserve">Secrets</w:t>
      </w:r>
      <w:r>
        <w:t xml:space="preserve"> </w:t>
      </w:r>
      <w:r>
        <w:t xml:space="preserve">хранит значения секретов. В API-контрактах и экспорте допустимы только ссылки на secrets.</w:t>
      </w:r>
    </w:p>
    <w:p>
      <w:pPr>
        <w:pStyle w:val="BodyText"/>
      </w:pPr>
      <w:r>
        <w:t xml:space="preserve">Доменные модули владеют бизнес-операциями и применением изменений.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не должен знать внутреннюю структуру их записей сверх опубликованной metadata.</w:t>
      </w:r>
    </w:p>
    <w:bookmarkEnd w:id="18"/>
    <w:bookmarkStart w:id="19" w:name="проверки"/>
    <w:p>
      <w:pPr>
        <w:pStyle w:val="Heading3"/>
      </w:pPr>
      <w:r>
        <w:t xml:space="preserve">4.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API/ValidateContractMetadata</w:t>
      </w:r>
      <w:r>
        <w:t xml:space="preserve"> </w:t>
      </w:r>
      <w:r>
        <w:t xml:space="preserve">проверяет форму одного контракта. 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проверяет системный legacy-контракт, дополнительные записи, metadata методов и отсутствие secret values в export.</w:t>
      </w:r>
    </w:p>
    <w:bookmarkEnd w:id="19"/>
    <w:bookmarkEnd w:id="20"/>
    <w:bookmarkStart w:id="24" w:name="профили-внешней-интеграции"/>
    <w:p>
      <w:pPr>
        <w:pStyle w:val="Heading2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21" w:name="что-хранит-профиль"/>
    <w:p>
      <w:pPr>
        <w:pStyle w:val="Heading3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3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3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3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3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3"/>
        </w:numPr>
      </w:pPr>
      <w:r>
        <w:t xml:space="preserve">transport profile;</w:t>
      </w:r>
    </w:p>
    <w:p>
      <w:pPr>
        <w:pStyle w:val="Compact"/>
        <w:numPr>
          <w:ilvl w:val="0"/>
          <w:numId w:val="1003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3"/>
        </w:numPr>
      </w:pPr>
      <w:r>
        <w:t xml:space="preserve">ссылки на Secrets;</w:t>
      </w:r>
    </w:p>
    <w:p>
      <w:pPr>
        <w:pStyle w:val="Compact"/>
        <w:numPr>
          <w:ilvl w:val="0"/>
          <w:numId w:val="1003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3"/>
        </w:numPr>
      </w:pPr>
      <w:r>
        <w:t xml:space="preserve">idempotency policy;</w:t>
      </w:r>
    </w:p>
    <w:p>
      <w:pPr>
        <w:pStyle w:val="Compact"/>
        <w:numPr>
          <w:ilvl w:val="0"/>
          <w:numId w:val="1003"/>
        </w:numPr>
      </w:pPr>
      <w:r>
        <w:t xml:space="preserve">external id policy;</w:t>
      </w:r>
    </w:p>
    <w:p>
      <w:pPr>
        <w:pStyle w:val="Compact"/>
        <w:numPr>
          <w:ilvl w:val="0"/>
          <w:numId w:val="1003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3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21"/>
    <w:bookmarkStart w:id="22" w:name="что-не-входит-в-профиль"/>
    <w:p>
      <w:pPr>
        <w:pStyle w:val="Heading3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4"/>
        </w:numPr>
      </w:pPr>
      <w:r>
        <w:t xml:space="preserve">Доменные модули применяют изменения и проверяют бизнес-правила.</w:t>
      </w:r>
    </w:p>
    <w:bookmarkEnd w:id="22"/>
    <w:bookmarkStart w:id="23" w:name="проверки-1"/>
    <w:p>
      <w:pPr>
        <w:pStyle w:val="Heading3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3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23"/>
    <w:bookmarkEnd w:id="24"/>
    <w:bookmarkStart w:id="30" w:name="mapping-и-externalid"/>
    <w:p>
      <w:pPr>
        <w:pStyle w:val="Heading2"/>
      </w:pPr>
      <w:r>
        <w:t xml:space="preserve">Mapping и ExternalId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ExternalId</w:t>
      </w:r>
      <w:r>
        <w:t xml:space="preserve"> </w:t>
      </w:r>
      <w:r>
        <w:t xml:space="preserve">являются общесистемными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интеграций. Они позволяют внешней системе однозначно связать свой объект с внутренним object type ИРБИС 128 и проверить payload до фактического применения изменений.</w:t>
      </w:r>
    </w:p>
    <w:bookmarkStart w:id="25" w:name="externalid"/>
    <w:p>
      <w:pPr>
        <w:pStyle w:val="Heading3"/>
      </w:pPr>
      <w:r>
        <w:t xml:space="preserve">1. ExternalId</w:t>
      </w:r>
    </w:p>
    <w:p>
      <w:pPr>
        <w:pStyle w:val="FirstParagraph"/>
      </w:pPr>
      <w:r>
        <w:rPr>
          <w:rStyle w:val="VerbatimChar"/>
        </w:rPr>
        <w:t xml:space="preserve">ExternalId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Внешний идентификатор</w:t>
      </w:r>
      <w:r>
        <w:t xml:space="preserve">.</w:t>
      </w:r>
    </w:p>
    <w:p>
      <w:pPr>
        <w:pStyle w:val="BodyText"/>
      </w:pPr>
      <w:r>
        <w:t xml:space="preserve">Связь включает:</w:t>
      </w:r>
    </w:p>
    <w:p>
      <w:pPr>
        <w:pStyle w:val="Compact"/>
        <w:numPr>
          <w:ilvl w:val="0"/>
          <w:numId w:val="1005"/>
        </w:numPr>
      </w:pPr>
      <w:r>
        <w:t xml:space="preserve">внешнюю систему;</w:t>
      </w:r>
    </w:p>
    <w:p>
      <w:pPr>
        <w:pStyle w:val="Compact"/>
        <w:numPr>
          <w:ilvl w:val="0"/>
          <w:numId w:val="1005"/>
        </w:numPr>
      </w:pPr>
      <w:r>
        <w:t xml:space="preserve">ключ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object type;</w:t>
      </w:r>
    </w:p>
    <w:p>
      <w:pPr>
        <w:pStyle w:val="Compact"/>
        <w:numPr>
          <w:ilvl w:val="0"/>
          <w:numId w:val="1005"/>
        </w:numPr>
      </w:pPr>
      <w:r>
        <w:t xml:space="preserve">внешний идентификатор;</w:t>
      </w:r>
    </w:p>
    <w:p>
      <w:pPr>
        <w:pStyle w:val="Compact"/>
        <w:numPr>
          <w:ilvl w:val="0"/>
          <w:numId w:val="1005"/>
        </w:numPr>
      </w:pPr>
      <w:r>
        <w:t xml:space="preserve">внутренний</w:t>
      </w:r>
      <w:r>
        <w:t xml:space="preserve"> </w:t>
      </w:r>
      <w:r>
        <w:rPr>
          <w:rStyle w:val="VerbatimChar"/>
        </w:rPr>
        <w:t xml:space="preserve">recordKey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recordRef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направление использования;</w:t>
      </w:r>
    </w:p>
    <w:p>
      <w:pPr>
        <w:pStyle w:val="Compact"/>
        <w:numPr>
          <w:ilvl w:val="0"/>
          <w:numId w:val="1005"/>
        </w:numPr>
      </w:pPr>
      <w:r>
        <w:t xml:space="preserve">статус связи;</w:t>
      </w:r>
    </w:p>
    <w:p>
      <w:pPr>
        <w:pStyle w:val="Compact"/>
        <w:numPr>
          <w:ilvl w:val="0"/>
          <w:numId w:val="1005"/>
        </w:numPr>
      </w:pPr>
      <w:r>
        <w:t xml:space="preserve">источник регистрации и даты подтверждения;</w:t>
      </w:r>
    </w:p>
    <w:p>
      <w:pPr>
        <w:pStyle w:val="Compact"/>
        <w:numPr>
          <w:ilvl w:val="0"/>
          <w:numId w:val="1005"/>
        </w:numPr>
      </w:pPr>
      <w:r>
        <w:t xml:space="preserve">правило уникальности.</w:t>
      </w:r>
    </w:p>
    <w:p>
      <w:pPr>
        <w:pStyle w:val="FirstParagraph"/>
      </w:pPr>
      <w:r>
        <w:t xml:space="preserve">Lookup выполняется только в области</w:t>
      </w:r>
      <w:r>
        <w:t xml:space="preserve"> </w:t>
      </w:r>
      <w:r>
        <w:rPr>
          <w:rStyle w:val="VerbatimChar"/>
        </w:rPr>
        <w:t xml:space="preserve">adapterProfileKey + externalSystem + objectType + externalId</w:t>
      </w:r>
      <w:r>
        <w:t xml:space="preserve">. Если в этой области найдено несколько активных связей, API возвращает диагностическую ошибку и не выбирает запись случайно.</w:t>
      </w:r>
    </w:p>
    <w:bookmarkEnd w:id="25"/>
    <w:bookmarkStart w:id="26" w:name="mappingprofile"/>
    <w:p>
      <w:pPr>
        <w:pStyle w:val="Heading3"/>
      </w:pPr>
      <w:r>
        <w:t xml:space="preserve">2. MappingProfile</w:t>
      </w:r>
    </w:p>
    <w:p>
      <w:pPr>
        <w:pStyle w:val="FirstParagraph"/>
      </w:pPr>
      <w:r>
        <w:rPr>
          <w:rStyle w:val="VerbatimChar"/>
        </w:rPr>
        <w:t xml:space="preserve">MappingProfile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Профиль mapping внешней интеграции</w:t>
      </w:r>
      <w:r>
        <w:t xml:space="preserve">.</w:t>
      </w:r>
    </w:p>
    <w:p>
      <w:pPr>
        <w:pStyle w:val="BodyText"/>
      </w:pPr>
      <w:r>
        <w:t xml:space="preserve">Профиль описывает:</w:t>
      </w:r>
    </w:p>
    <w:p>
      <w:pPr>
        <w:pStyle w:val="Compact"/>
        <w:numPr>
          <w:ilvl w:val="0"/>
          <w:numId w:val="1006"/>
        </w:numPr>
      </w:pPr>
      <w:r>
        <w:t xml:space="preserve">связь с</w:t>
      </w:r>
      <w:r>
        <w:t xml:space="preserve"> </w:t>
      </w:r>
      <w:r>
        <w:rPr>
          <w:rStyle w:val="VerbatimChar"/>
        </w:rPr>
        <w:t xml:space="preserve">IntegrationAdapterProfile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APIContract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внутренний object type и внешний object type;</w:t>
      </w:r>
    </w:p>
    <w:p>
      <w:pPr>
        <w:pStyle w:val="Compact"/>
        <w:numPr>
          <w:ilvl w:val="0"/>
          <w:numId w:val="1006"/>
        </w:numPr>
      </w:pPr>
      <w:r>
        <w:t xml:space="preserve">направление mapping;</w:t>
      </w:r>
    </w:p>
    <w:p>
      <w:pPr>
        <w:pStyle w:val="Compact"/>
        <w:numPr>
          <w:ilvl w:val="0"/>
          <w:numId w:val="1006"/>
        </w:numPr>
      </w:pPr>
      <w:r>
        <w:t xml:space="preserve">поле payload, в котором находится external id;</w:t>
      </w:r>
    </w:p>
    <w:p>
      <w:pPr>
        <w:pStyle w:val="Compact"/>
        <w:numPr>
          <w:ilvl w:val="0"/>
          <w:numId w:val="1006"/>
        </w:numPr>
      </w:pPr>
      <w:r>
        <w:t xml:space="preserve">required permissions для проверки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полей через stable field keys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mapping workflow-статусов и переходов через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resolver-а пользователей и организаций через</w:t>
      </w:r>
      <w:r>
        <w:t xml:space="preserve"> </w:t>
      </w: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правила ссылок на файлы через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.</w:t>
      </w:r>
    </w:p>
    <w:p>
      <w:pPr>
        <w:pStyle w:val="FirstParagraph"/>
      </w:pPr>
      <w:r>
        <w:t xml:space="preserve">В mapping нельзя указывать физические номера полей, подполей, внутренние пути файлов или значения секретов. API хранит только ссылки на владельцев контрактов.</w:t>
      </w:r>
    </w:p>
    <w:bookmarkEnd w:id="26"/>
    <w:bookmarkStart w:id="27" w:name="dry-run"/>
    <w:p>
      <w:pPr>
        <w:pStyle w:val="Heading3"/>
      </w:pPr>
      <w:r>
        <w:t xml:space="preserve">3. Dry-run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 </w:t>
      </w:r>
      <w:r>
        <w:t xml:space="preserve">принимает payload и mapping context. Она возвращает normalized result, matched ExternalId, proposed changes, required permissions, warnings и errors.</w:t>
      </w:r>
    </w:p>
    <w:p>
      <w:pPr>
        <w:pStyle w:val="BodyText"/>
      </w:pPr>
      <w:r>
        <w:t xml:space="preserve">Dry-run не сохраняет запись, не создает ExternalId, не выполняет workflow-переходы, не запускает post-functions, не отправляет события и не ставит задания в Queue.</w:t>
      </w:r>
    </w:p>
    <w:p>
      <w:pPr>
        <w:pStyle w:val="BodyText"/>
      </w:pPr>
      <w:r>
        <w:t xml:space="preserve">Если интеграции нужна проверка конфликтов, source-of-truth, идемпотентность и стандартный SyncApplyRequest для доменного модуля, используется следующий слой -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и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/</w:t>
      </w:r>
      <w:r>
        <w:rPr>
          <w:rStyle w:val="VerbatimChar"/>
        </w:rPr>
        <w:t xml:space="preserve">ConflictPolicy</w:t>
      </w:r>
      <w:r>
        <w:t xml:space="preserve">.</w:t>
      </w:r>
    </w:p>
    <w:bookmarkEnd w:id="27"/>
    <w:bookmarkStart w:id="28" w:name="where-used"/>
    <w:p>
      <w:pPr>
        <w:pStyle w:val="Heading3"/>
      </w:pPr>
      <w:r>
        <w:t xml:space="preserve">4. Where-used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API/GetExternalIdWhereUsed</w:t>
      </w:r>
      <w:r>
        <w:t xml:space="preserve"> </w:t>
      </w:r>
      <w:r>
        <w:t xml:space="preserve">показывает связанные ExternalId, mapping profiles и опубликованные API-методы, которые могут использовать эти настройки. Диагностика не раскрывает закрытые записи, скрытые поля, секреты и персональные данные без прав.</w:t>
      </w:r>
    </w:p>
    <w:bookmarkEnd w:id="28"/>
    <w:bookmarkStart w:id="29" w:name="границы-ответственности-1"/>
    <w:p>
      <w:pPr>
        <w:pStyle w:val="Heading3"/>
      </w:pPr>
      <w:r>
        <w:t xml:space="preserve">5.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реестром ExternalId, mapping profiles, lookup, where-used, dry-run mapping и безопасной диагностикой.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фактическим применением переходов.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Users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Organisations</w:t>
      </w:r>
      <w:r>
        <w:t xml:space="preserve"> </w:t>
      </w:r>
      <w:r>
        <w:t xml:space="preserve">владеют resolver-ами участников.</w:t>
      </w:r>
    </w:p>
    <w:p>
      <w:pPr>
        <w:pStyle w:val="BodyText"/>
      </w:pPr>
      <w:r>
        <w:rPr>
          <w:rStyle w:val="VerbatimChar"/>
        </w:rPr>
        <w:t xml:space="preserve">FT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владеют файлами, staging и постоянным хранением.</w:t>
      </w:r>
    </w:p>
    <w:p>
      <w:pPr>
        <w:pStyle w:val="BodyText"/>
      </w:pPr>
      <w:r>
        <w:t xml:space="preserve">Доменные модули применяют нормализованные изменения к своим записям и проверяют бизнес-правила.</w:t>
      </w:r>
    </w:p>
    <w:bookmarkEnd w:id="29"/>
    <w:bookmarkEnd w:id="30"/>
    <w:bookmarkStart w:id="35" w:name="syncpolicy-и-conflictpolicy"/>
    <w:p>
      <w:pPr>
        <w:pStyle w:val="Heading2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31" w:name="syncpolicy"/>
    <w:p>
      <w:pPr>
        <w:pStyle w:val="Heading3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7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7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7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7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7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t xml:space="preserve">source-of-truth policy;</w:t>
      </w:r>
    </w:p>
    <w:p>
      <w:pPr>
        <w:pStyle w:val="Compact"/>
        <w:numPr>
          <w:ilvl w:val="0"/>
          <w:numId w:val="1007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7"/>
        </w:numPr>
      </w:pPr>
      <w:r>
        <w:t xml:space="preserve">idempotency scope;</w:t>
      </w:r>
    </w:p>
    <w:p>
      <w:pPr>
        <w:pStyle w:val="Compact"/>
        <w:numPr>
          <w:ilvl w:val="0"/>
          <w:numId w:val="1007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7"/>
        </w:numPr>
      </w:pPr>
      <w:r>
        <w:t xml:space="preserve">stale data policy;</w:t>
      </w:r>
    </w:p>
    <w:p>
      <w:pPr>
        <w:pStyle w:val="Compact"/>
        <w:numPr>
          <w:ilvl w:val="0"/>
          <w:numId w:val="1007"/>
        </w:numPr>
      </w:pPr>
      <w:r>
        <w:t xml:space="preserve">retry eligibility;</w:t>
      </w:r>
    </w:p>
    <w:p>
      <w:pPr>
        <w:pStyle w:val="Compact"/>
        <w:numPr>
          <w:ilvl w:val="0"/>
          <w:numId w:val="1007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31"/>
    <w:bookmarkStart w:id="32" w:name="conflictpolicy"/>
    <w:p>
      <w:pPr>
        <w:pStyle w:val="Heading3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32"/>
    <w:bookmarkStart w:id="33" w:name="dry-run-sync"/>
    <w:p>
      <w:pPr>
        <w:pStyle w:val="Heading3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9"/>
        </w:numPr>
      </w:pPr>
      <w:r>
        <w:t xml:space="preserve">normalized payload;</w:t>
      </w:r>
    </w:p>
    <w:p>
      <w:pPr>
        <w:pStyle w:val="Compact"/>
        <w:numPr>
          <w:ilvl w:val="0"/>
          <w:numId w:val="1009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9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9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9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9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9"/>
        </w:numPr>
      </w:pPr>
      <w:r>
        <w:t xml:space="preserve">conflict classes;</w:t>
      </w:r>
    </w:p>
    <w:p>
      <w:pPr>
        <w:pStyle w:val="Compact"/>
        <w:numPr>
          <w:ilvl w:val="0"/>
          <w:numId w:val="1009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9"/>
        </w:numPr>
      </w:pPr>
      <w:r>
        <w:t xml:space="preserve">idempotency fingerprint;</w:t>
      </w:r>
    </w:p>
    <w:p>
      <w:pPr>
        <w:pStyle w:val="Compact"/>
        <w:numPr>
          <w:ilvl w:val="0"/>
          <w:numId w:val="1009"/>
        </w:numPr>
      </w:pPr>
      <w:r>
        <w:t xml:space="preserve">trace metadata;</w:t>
      </w:r>
    </w:p>
    <w:p>
      <w:pPr>
        <w:pStyle w:val="Compact"/>
        <w:numPr>
          <w:ilvl w:val="0"/>
          <w:numId w:val="1009"/>
        </w:numPr>
      </w:pPr>
      <w:r>
        <w:t xml:space="preserve">Security summary;</w:t>
      </w:r>
    </w:p>
    <w:p>
      <w:pPr>
        <w:pStyle w:val="Compact"/>
        <w:numPr>
          <w:ilvl w:val="0"/>
          <w:numId w:val="1009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33"/>
    <w:bookmarkStart w:id="34" w:name="границы-ответственности-2"/>
    <w:p>
      <w:pPr>
        <w:pStyle w:val="Heading3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34"/>
    <w:bookmarkEnd w:id="35"/>
    <w:bookmarkStart w:id="105" w:name="json-rpc-api-модуля-api"/>
    <w:p>
      <w:pPr>
        <w:pStyle w:val="Heading2"/>
      </w:pPr>
      <w:r>
        <w:t xml:space="preserve">JSON-RPC API модуля 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публикует методы JSON-RPC 2.0 через общую точку входа</w:t>
      </w:r>
      <w:r>
        <w:t xml:space="preserve"> </w:t>
      </w:r>
      <w:r>
        <w:rPr>
          <w:rStyle w:val="VerbatimChar"/>
        </w:rPr>
        <w:t xml:space="preserve">JSONRPC.php?i128Module=API</w:t>
      </w:r>
      <w:r>
        <w:t xml:space="preserve">. Запрос принимает инфраструктурный модуль</w:t>
      </w:r>
      <w:r>
        <w:t xml:space="preserve"> </w:t>
      </w:r>
      <w:r>
        <w:rPr>
          <w:rStyle w:val="VerbatimChar"/>
        </w:rPr>
        <w:t xml:space="preserve">JSONRPC</w:t>
      </w:r>
      <w:r>
        <w:t xml:space="preserve">, после чего вызов передается серверу</w:t>
      </w:r>
      <w:r>
        <w:t xml:space="preserve"> </w:t>
      </w:r>
      <w:r>
        <w:rPr>
          <w:rStyle w:val="VerbatimChar"/>
        </w:rPr>
        <w:t xml:space="preserve">API_JSONRPCServer</w:t>
      </w:r>
      <w:r>
        <w:t xml:space="preserve">.</w:t>
      </w:r>
    </w:p>
    <w:p>
      <w:pPr>
        <w:pStyle w:val="BodyText"/>
      </w:pPr>
      <w:r>
        <w:t xml:space="preserve">URL подключения:</w:t>
      </w:r>
    </w:p>
    <w:p>
      <w:pPr>
        <w:pStyle w:val="SourceCode"/>
      </w:pPr>
      <w:r>
        <w:rPr>
          <w:rStyle w:val="VerbatimChar"/>
        </w:rPr>
        <w:t xml:space="preserve">https://example.org/JSONRPC.php?i128Module=API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нужно указать адрес сервера ИРБИС 128. Спецификация протокола JSON-RPC 2.0 опубликована на сайте JSON-RPC: https://www.jsonrpc.org/specification.</w:t>
      </w:r>
    </w:p>
    <w:p>
      <w:pPr>
        <w:pStyle w:val="BodyText"/>
      </w:pPr>
      <w:r>
        <w:t xml:space="preserve">Для совместимого сервера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; набор функций почти совпадает, а метод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доступен именно через сервер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.</w:t>
      </w:r>
    </w:p>
    <w:p>
      <w:pPr>
        <w:pStyle w:val="BodyText"/>
      </w:pPr>
      <w:r>
        <w:t xml:space="preserve">Вы можете</w:t>
      </w:r>
      <w:r>
        <w:t xml:space="preserve"> </w:t>
      </w:r>
      <w:hyperlink r:id="rId36">
        <w:r>
          <w:rPr>
            <w:rStyle w:val="Hyperlink"/>
          </w:rPr>
          <w:t xml:space="preserve">скачать</w:t>
        </w:r>
      </w:hyperlink>
      <w:r>
        <w:t xml:space="preserve"> </w:t>
      </w:r>
      <w:r>
        <w:t xml:space="preserve">пример клиентской библиотеки для вызова функций на языке PHP.</w:t>
      </w:r>
    </w:p>
    <w:bookmarkStart w:id="41" w:name="функция-getuseruser_id"/>
    <w:p>
      <w:pPr>
        <w:pStyle w:val="Heading3"/>
      </w:pPr>
      <w:r>
        <w:t xml:space="preserve">Функция GetUser($user_id)</w:t>
      </w:r>
    </w:p>
    <w:bookmarkStart w:id="37" w:name="описание-функции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37"/>
    <w:bookmarkStart w:id="38" w:name="параметры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38"/>
    <w:bookmarkStart w:id="39" w:name="возвращаемые-значения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39"/>
    <w:bookmarkStart w:id="40" w:name="исключения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40"/>
    <w:bookmarkEnd w:id="41"/>
    <w:bookmarkStart w:id="46" w:name="X981cde75908b2eecb75c3db9cf34bbecbc4b87a"/>
    <w:p>
      <w:pPr>
        <w:pStyle w:val="Heading3"/>
      </w:pPr>
      <w:r>
        <w:t xml:space="preserve">Функция AddUser($user_id = ’’, $user_rec_array = array())</w:t>
      </w:r>
    </w:p>
    <w:bookmarkStart w:id="42" w:name="описание-функции-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 В поле 30 записи устанавливается переданный идентификатор пользователя.</w:t>
      </w:r>
    </w:p>
    <w:bookmarkEnd w:id="42"/>
    <w:bookmarkStart w:id="43" w:name="параметры-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43"/>
    <w:bookmarkStart w:id="44" w:name="возвращаемые-значения-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44"/>
    <w:bookmarkStart w:id="45" w:name="исключения-1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AddUser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уже существует. Создание новой записи невозможно. Удалите или редактируйте имеющуюся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 идентификатор, существующий в БД пользователей.</w:t>
            </w:r>
          </w:p>
        </w:tc>
      </w:tr>
    </w:tbl>
    <w:bookmarkEnd w:id="45"/>
    <w:bookmarkEnd w:id="46"/>
    <w:bookmarkStart w:id="51" w:name="функция-deluseruser_id"/>
    <w:p>
      <w:pPr>
        <w:pStyle w:val="Heading3"/>
      </w:pPr>
      <w:r>
        <w:t xml:space="preserve">Функция DelUser($user_id = ’’)</w:t>
      </w:r>
    </w:p>
    <w:bookmarkStart w:id="47" w:name="описание-функции-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удаляет пользователя по идентификатору читателя. Сервер находит запись пользователя в базе читателей и передает ее MFN в операцию удаления записи.</w:t>
      </w:r>
    </w:p>
    <w:bookmarkEnd w:id="47"/>
    <w:bookmarkStart w:id="48" w:name="параметры-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DelUser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48"/>
    <w:bookmarkStart w:id="49" w:name="возвращаемые-значения-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результат операции удаления записи:</w:t>
      </w:r>
    </w:p>
    <w:p>
      <w:pPr>
        <w:pStyle w:val="BodyText"/>
      </w:pPr>
      <w:r>
        <w:t xml:space="preserve">Таблица 2. Возвращаемые значения функции DelUser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Удаление завершено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База читателей недоступна.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-140</w:t>
            </w:r>
          </w:p>
        </w:tc>
        <w:tc>
          <w:tcPr/>
          <w:p>
            <w:pPr>
              <w:pStyle w:val="Compact"/>
            </w:pPr>
            <w:r>
              <w:t xml:space="preserve">Пользователь с указанным идентификатором не найден.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другое отрицательное число</w:t>
            </w:r>
          </w:p>
        </w:tc>
        <w:tc>
          <w:tcPr/>
          <w:p>
            <w:pPr>
              <w:pStyle w:val="Compact"/>
            </w:pPr>
            <w:r>
              <w:t xml:space="preserve">Код ошибки, возвращенный провайдером данных при удалении записи.</w:t>
            </w:r>
          </w:p>
        </w:tc>
      </w:tr>
    </w:tbl>
    <w:bookmarkEnd w:id="49"/>
    <w:bookmarkStart w:id="50" w:name="исключения-2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Функция возвращает коды ошибок и не формирует отдельные исключения JSON-RPC для штатных отказов удаления пользователя.</w:t>
      </w:r>
    </w:p>
    <w:bookmarkEnd w:id="50"/>
    <w:bookmarkEnd w:id="51"/>
    <w:bookmarkStart w:id="55" w:name="X458831fea5ac7cbb1a73ac869bf4d8fe6a9abc2"/>
    <w:p>
      <w:pPr>
        <w:pStyle w:val="Heading3"/>
      </w:pPr>
      <w:r>
        <w:t xml:space="preserve">Функция UpdateUser($user_id = ’’, $user_rec_array = array())</w:t>
      </w:r>
    </w:p>
    <w:bookmarkStart w:id="52" w:name="описание-функции-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обновления информации о существующем пользователе.</w:t>
      </w:r>
    </w:p>
    <w:bookmarkEnd w:id="52"/>
    <w:bookmarkStart w:id="53" w:name="параметры-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UpdateUser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user_rec_array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Массив, описывающий запись пользователя</w:t>
            </w:r>
          </w:p>
        </w:tc>
      </w:tr>
    </w:tbl>
    <w:bookmarkEnd w:id="53"/>
    <w:bookmarkStart w:id="54" w:name="исключения-3"/>
    <w:p>
      <w:pPr>
        <w:pStyle w:val="Heading4"/>
      </w:pPr>
      <w:r>
        <w:t xml:space="preserve">3. Исключения</w:t>
      </w:r>
    </w:p>
    <w:p>
      <w:pPr>
        <w:pStyle w:val="FirstParagraph"/>
      </w:pPr>
      <w:r>
        <w:t xml:space="preserve">Отсутствуют.</w:t>
      </w:r>
    </w:p>
    <w:bookmarkEnd w:id="54"/>
    <w:bookmarkEnd w:id="55"/>
    <w:bookmarkStart w:id="60" w:name="функция-userformularuser_id"/>
    <w:p>
      <w:pPr>
        <w:pStyle w:val="Heading3"/>
      </w:pPr>
      <w:r>
        <w:t xml:space="preserve">Функция UserFormular($user_id)</w:t>
      </w:r>
    </w:p>
    <w:bookmarkStart w:id="56" w:name="описание-функции-4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56"/>
    <w:bookmarkStart w:id="57" w:name="параметры-4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57"/>
    <w:bookmarkStart w:id="58" w:name="возвращаемые-значения-3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10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0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10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10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10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10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10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10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58"/>
    <w:bookmarkStart w:id="59" w:name="исключения-4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59"/>
    <w:bookmarkEnd w:id="60"/>
    <w:bookmarkStart w:id="65" w:name="X41defcd0e83059f2cb5e0946043d77695248e23"/>
    <w:p>
      <w:pPr>
        <w:pStyle w:val="Heading3"/>
      </w:pPr>
      <w:r>
        <w:t xml:space="preserve">Функция MakeOrder($user_id, $dbn, $record_id, $place_of_issue = ’’)</w:t>
      </w:r>
    </w:p>
    <w:bookmarkStart w:id="61" w:name="описание-функции-5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создания заказа на издание по месту выдачи.</w:t>
      </w:r>
    </w:p>
    <w:bookmarkEnd w:id="61"/>
    <w:bookmarkStart w:id="62" w:name="параметры-5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БД, в которой хранится запись на издание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r</m:t>
              </m:r>
              <m:r>
                <m:t>e</m:t>
              </m:r>
              <m:r>
                <m:t>c</m:t>
              </m:r>
              <m:r>
                <m:t>o</m:t>
              </m:r>
              <m:r>
                <m:t>r</m:t>
              </m:r>
              <m:sSub>
                <m:e>
                  <m:r>
                    <m:t>d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Ш</m:t>
              </m:r>
              <m:r>
                <m:t>и</m:t>
              </m:r>
              <m:r>
                <m:t>ф</m:t>
              </m:r>
              <m:r>
                <m:t>р</m:t>
              </m:r>
              <m:r>
                <m:t>з</m:t>
              </m:r>
              <m:r>
                <m:t>а</m:t>
              </m:r>
              <m:r>
                <m:t>к</m:t>
              </m:r>
              <m:r>
                <m:t>а</m:t>
              </m:r>
              <m:r>
                <m:t>з</m:t>
              </m:r>
              <m:r>
                <m:t>ы</m:t>
              </m:r>
              <m:r>
                <m:t>в</m:t>
              </m:r>
              <m:r>
                <m:t>а</m:t>
              </m:r>
              <m:r>
                <m:t>е</m:t>
              </m:r>
              <m:r>
                <m:t>м</m:t>
              </m:r>
              <m:r>
                <m:t>о</m:t>
              </m:r>
              <m:r>
                <m:t>г</m:t>
              </m:r>
              <m:r>
                <m:t>о</m:t>
              </m:r>
              <m:r>
                <m:t>д</m:t>
              </m:r>
              <m:r>
                <m:t>о</m:t>
              </m:r>
              <m:r>
                <m:t>к</m:t>
              </m:r>
              <m:r>
                <m:t>у</m:t>
              </m:r>
              <m:r>
                <m:t>м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(</m:t>
              </m:r>
              <m:r>
                <m:t>о</m:t>
              </m:r>
              <m:r>
                <m:t>б</m:t>
              </m:r>
              <m:r>
                <m:t>ы</m:t>
              </m:r>
              <m:r>
                <m:t>ч</m:t>
              </m:r>
              <m:r>
                <m:t>н</m:t>
              </m:r>
              <m:r>
                <m:t>о</m:t>
              </m:r>
              <m:r>
                <m:rPr>
                  <m:sty m:val="p"/>
                </m:rPr>
                <m:t>–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е</m:t>
              </m:r>
              <m:r>
                <m:t>903</m:t>
              </m:r>
              <m:r>
                <m:t>б</m:t>
              </m:r>
              <m:r>
                <m:t>и</m:t>
              </m:r>
              <m:r>
                <m:t>б</m:t>
              </m:r>
              <m:r>
                <m:t>л</m:t>
              </m:r>
              <m:r>
                <m:t>и</m:t>
              </m:r>
              <m:r>
                <m:t>о</m:t>
              </m:r>
              <m:r>
                <m:t>г</m:t>
              </m:r>
              <m:r>
                <m:t>р</m:t>
              </m:r>
              <m:r>
                <m:t>а</m:t>
              </m:r>
              <m:r>
                <m:t>ф</m:t>
              </m:r>
              <m:r>
                <m:t>и</m:t>
              </m:r>
              <m:r>
                <m:t>ч</m:t>
              </m:r>
              <m:r>
                <m:t>е</m:t>
              </m:r>
              <m:r>
                <m:t>с</m:t>
              </m:r>
              <m:r>
                <m:t>к</m:t>
              </m:r>
              <m:r>
                <m:t>о</m:t>
              </m:r>
              <m:r>
                <m:t>й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и</m:t>
              </m:r>
              <m:r>
                <m:rPr>
                  <m:sty m:val="p"/>
                </m:rPr>
                <m:t>)</m:t>
              </m:r>
              <m:r>
                <m:rPr>
                  <m:sty m:val="p"/>
                </m:rPr>
                <m:t>|</m:t>
              </m:r>
            </m:oMath>
            <w:r>
              <w:t xml:space="preserve">place_of_issue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Код места выдачи, в котором пользователь желает получить заказываемое издание</w:t>
            </w:r>
          </w:p>
        </w:tc>
      </w:tr>
    </w:tbl>
    <w:bookmarkEnd w:id="62"/>
    <w:bookmarkStart w:id="63" w:name="возвращаемые-значения-4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3"/>
    <w:bookmarkStart w:id="64" w:name="исключения-5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MakeOrder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Произошла ошибка при открытии БД каталога, в котором хранится запись издания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найдена запись пользователя</w:t>
            </w:r>
          </w:p>
        </w:tc>
        <w:tc>
          <w:tcPr/>
          <w:p>
            <w:pPr>
              <w:pStyle w:val="Compact"/>
            </w:pPr>
            <w:r>
              <w:t xml:space="preserve">Попытка поиска пользователя по указанному идентификатору вернула пустой результат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-3</w:t>
            </w:r>
          </w:p>
        </w:tc>
        <w:tc>
          <w:tcPr/>
          <w:p>
            <w:pPr>
              <w:pStyle w:val="Compact"/>
            </w:pPr>
            <w:r>
              <w:t xml:space="preserve">Ошибочный идентификатор записи, запись не найдена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шифру издания в БД каталога не нашлось соответствующей записи</w:t>
            </w:r>
          </w:p>
        </w:tc>
      </w:tr>
    </w:tbl>
    <w:bookmarkEnd w:id="64"/>
    <w:bookmarkEnd w:id="65"/>
    <w:bookmarkStart w:id="70" w:name="функция-deleteorderuser_id-record_id"/>
    <w:p>
      <w:pPr>
        <w:pStyle w:val="Heading3"/>
      </w:pPr>
      <w:r>
        <w:t xml:space="preserve">Функция DeleteOrder($user_id, $record_id)</w:t>
      </w:r>
    </w:p>
    <w:bookmarkStart w:id="66" w:name="описание-функции-6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удаления существующего заказа на издание.</w:t>
      </w:r>
    </w:p>
    <w:bookmarkEnd w:id="66"/>
    <w:bookmarkStart w:id="67" w:name="параметры-6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Шифр заказываемого документа (обычно – поле 903 библиографической записи)</w:t>
            </w:r>
          </w:p>
        </w:tc>
      </w:tr>
    </w:tbl>
    <w:bookmarkEnd w:id="67"/>
    <w:bookmarkStart w:id="68" w:name="возвращаемые-значения-5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0 в случае успешного завершения операции.</w:t>
      </w:r>
    </w:p>
    <w:bookmarkEnd w:id="68"/>
    <w:bookmarkStart w:id="69" w:name="исключения-6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DeleteOrder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-23</w:t>
            </w:r>
          </w:p>
        </w:tc>
        <w:tc>
          <w:tcPr/>
          <w:p>
            <w:pPr>
              <w:pStyle w:val="Compact"/>
            </w:pPr>
            <w:r>
              <w:t xml:space="preserve">Заказ не найден. Убедитесь, что он не был удалён ранее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у читателя не найдено соответствующее издание в формуляре</w:t>
            </w:r>
          </w:p>
        </w:tc>
      </w:tr>
    </w:tbl>
    <w:bookmarkEnd w:id="69"/>
    <w:bookmarkEnd w:id="70"/>
    <w:bookmarkStart w:id="75" w:name="функция-getordersuser_id"/>
    <w:p>
      <w:pPr>
        <w:pStyle w:val="Heading3"/>
      </w:pPr>
      <w:r>
        <w:t xml:space="preserve">Функция GetOrders($user_id)</w:t>
      </w:r>
    </w:p>
    <w:bookmarkStart w:id="71" w:name="описание-функции-7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списке заказов пользователя.</w:t>
      </w:r>
    </w:p>
    <w:bookmarkEnd w:id="71"/>
    <w:bookmarkStart w:id="72" w:name="параметры-7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GetOrders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72"/>
    <w:bookmarkStart w:id="73" w:name="возвращаемые-значения-6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ассоциативных массивов с информацией о заказах пользователя.</w:t>
      </w:r>
    </w:p>
    <w:p>
      <w:pPr>
        <w:pStyle w:val="Compact"/>
        <w:numPr>
          <w:ilvl w:val="0"/>
          <w:numId w:val="1011"/>
        </w:numPr>
      </w:pPr>
      <w:r>
        <w:t xml:space="preserve">‘db’</w:t>
      </w:r>
      <w:r>
        <w:t xml:space="preserve"> </w:t>
      </w:r>
      <w:r>
        <w:t xml:space="preserve">=&gt; Имя БД, в которой хранится запись на издание</w:t>
      </w:r>
    </w:p>
    <w:p>
      <w:pPr>
        <w:pStyle w:val="Compact"/>
        <w:numPr>
          <w:ilvl w:val="0"/>
          <w:numId w:val="1011"/>
        </w:numPr>
      </w:pPr>
      <w:r>
        <w:t xml:space="preserve">‘record_id’</w:t>
      </w:r>
      <w:r>
        <w:t xml:space="preserve"> </w:t>
      </w:r>
      <w:r>
        <w:t xml:space="preserve">=&gt; шифр документа записи на издание (обычно, 903 поле)</w:t>
      </w:r>
    </w:p>
    <w:p>
      <w:pPr>
        <w:pStyle w:val="Compact"/>
        <w:numPr>
          <w:ilvl w:val="0"/>
          <w:numId w:val="1011"/>
        </w:numPr>
      </w:pPr>
      <w:r>
        <w:t xml:space="preserve">‘user_id’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11"/>
        </w:numPr>
      </w:pPr>
      <w:r>
        <w:t xml:space="preserve">‘bibliography’</w:t>
      </w:r>
      <w:r>
        <w:t xml:space="preserve"> </w:t>
      </w:r>
      <w:r>
        <w:t xml:space="preserve">=&gt; Краткое описание издания (в формате brief)</w:t>
      </w:r>
    </w:p>
    <w:p>
      <w:pPr>
        <w:pStyle w:val="Compact"/>
        <w:numPr>
          <w:ilvl w:val="0"/>
          <w:numId w:val="101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Compact"/>
        <w:numPr>
          <w:ilvl w:val="0"/>
          <w:numId w:val="1011"/>
        </w:numPr>
      </w:pPr>
      <w:r>
        <w:t xml:space="preserve">‘place_of_issue’</w:t>
      </w:r>
      <w:r>
        <w:t xml:space="preserve"> </w:t>
      </w:r>
      <w:r>
        <w:t xml:space="preserve">=&gt; Место выдачи</w:t>
      </w:r>
    </w:p>
    <w:p>
      <w:pPr>
        <w:pStyle w:val="Compact"/>
        <w:numPr>
          <w:ilvl w:val="0"/>
          <w:numId w:val="101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‘barcode_rfid’</w:t>
      </w:r>
      <w:r>
        <w:t xml:space="preserve"> </w:t>
      </w:r>
      <w:r>
        <w:t xml:space="preserve">=&gt; Штрих-код или RFID-метка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11"/>
        </w:numPr>
      </w:pPr>
      <w:r>
        <w:t xml:space="preserve">‘order_date’</w:t>
      </w:r>
      <w:r>
        <w:t xml:space="preserve"> </w:t>
      </w:r>
      <w:r>
        <w:t xml:space="preserve">=&gt; Дата создания заказа</w:t>
      </w:r>
    </w:p>
    <w:p>
      <w:pPr>
        <w:pStyle w:val="Compact"/>
        <w:numPr>
          <w:ilvl w:val="0"/>
          <w:numId w:val="1011"/>
        </w:numPr>
      </w:pPr>
      <w:r>
        <w:t xml:space="preserve">‘issue_date’</w:t>
      </w:r>
      <w:r>
        <w:t xml:space="preserve"> </w:t>
      </w:r>
      <w:r>
        <w:t xml:space="preserve">=&gt; Дата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‘reservation_date’</w:t>
      </w:r>
      <w:r>
        <w:t xml:space="preserve"> </w:t>
      </w:r>
      <w:r>
        <w:t xml:space="preserve">=&gt; Дата бронирования экземпляра</w:t>
      </w:r>
    </w:p>
    <w:p>
      <w:pPr>
        <w:pStyle w:val="Compact"/>
        <w:numPr>
          <w:ilvl w:val="0"/>
          <w:numId w:val="1011"/>
        </w:numPr>
      </w:pPr>
      <w:r>
        <w:t xml:space="preserve">‘refuse_date’</w:t>
      </w:r>
      <w:r>
        <w:t xml:space="preserve"> </w:t>
      </w:r>
      <w:r>
        <w:t xml:space="preserve">=&gt; Дата отказа в исполнении заказа</w:t>
      </w:r>
    </w:p>
    <w:p>
      <w:pPr>
        <w:pStyle w:val="Compact"/>
        <w:numPr>
          <w:ilvl w:val="0"/>
          <w:numId w:val="1011"/>
        </w:numPr>
      </w:pPr>
      <w:r>
        <w:t xml:space="preserve">‘refuse_reason’</w:t>
      </w:r>
      <w:r>
        <w:t xml:space="preserve"> </w:t>
      </w:r>
      <w:r>
        <w:t xml:space="preserve">=&gt; Причина отказа исполнения заказа</w:t>
      </w:r>
    </w:p>
    <w:p>
      <w:pPr>
        <w:pStyle w:val="Compact"/>
        <w:numPr>
          <w:ilvl w:val="0"/>
          <w:numId w:val="1011"/>
        </w:numPr>
      </w:pPr>
      <w:r>
        <w:t xml:space="preserve">‘is_edd’</w:t>
      </w:r>
      <w:r>
        <w:t xml:space="preserve"> </w:t>
      </w:r>
      <w:r>
        <w:t xml:space="preserve">=&gt; Если true – заказ является заказом на электронную доставку документа</w:t>
      </w:r>
    </w:p>
    <w:p>
      <w:pPr>
        <w:pStyle w:val="Compact"/>
        <w:numPr>
          <w:ilvl w:val="0"/>
          <w:numId w:val="1011"/>
        </w:numPr>
      </w:pPr>
      <w:r>
        <w:t xml:space="preserve">‘edd_url’</w:t>
      </w:r>
      <w:r>
        <w:t xml:space="preserve"> </w:t>
      </w:r>
      <w:r>
        <w:t xml:space="preserve">=&gt; Ссылка на получение результата исполнения заказа на электронную доставку документа</w:t>
      </w:r>
    </w:p>
    <w:p>
      <w:pPr>
        <w:pStyle w:val="FirstParagraph"/>
      </w:pPr>
      <w:r>
        <w:t xml:space="preserve">Возвращается вся история заказов пользователя. Для неисполненных заказов поле issue_date - пусто.</w:t>
      </w:r>
    </w:p>
    <w:bookmarkEnd w:id="73"/>
    <w:bookmarkStart w:id="74" w:name="исключения-7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74"/>
    <w:bookmarkEnd w:id="75"/>
    <w:bookmarkStart w:id="80" w:name="X4021253e8c42228d68df4137ed0834479538ba2"/>
    <w:p>
      <w:pPr>
        <w:pStyle w:val="Heading3"/>
      </w:pPr>
      <w:r>
        <w:t xml:space="preserve">Функция BookReturnProlongation($user_id, $barcode_rfid , $inventory, $new_return_date)</w:t>
      </w:r>
    </w:p>
    <w:bookmarkStart w:id="76" w:name="описание-функции-8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76"/>
    <w:bookmarkStart w:id="77" w:name="параметры-8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77"/>
    <w:bookmarkStart w:id="78" w:name="возвращаемые-значения-7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78"/>
    <w:bookmarkStart w:id="79" w:name="исключения-8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79"/>
    <w:bookmarkEnd w:id="80"/>
    <w:bookmarkStart w:id="85" w:name="функция-getexemplarsinfodbn-record_id"/>
    <w:p>
      <w:pPr>
        <w:pStyle w:val="Heading3"/>
      </w:pPr>
      <w:r>
        <w:t xml:space="preserve">Функция GetExemplarsInfo($dbn, $record_id)</w:t>
      </w:r>
    </w:p>
    <w:bookmarkStart w:id="81" w:name="описание-функции-9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81"/>
    <w:bookmarkStart w:id="82" w:name="параметры-9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82"/>
    <w:bookmarkStart w:id="83" w:name="возвращаемые-значения-8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83"/>
    <w:bookmarkStart w:id="84" w:name="исключения-9"/>
    <w:p>
      <w:pPr>
        <w:pStyle w:val="Heading4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84"/>
    <w:bookmarkEnd w:id="85"/>
    <w:bookmarkStart w:id="91" w:name="X69f82971d4e2878f63cb390e9c47d7b6588015f"/>
    <w:p>
      <w:pPr>
        <w:pStyle w:val="Heading3"/>
      </w:pPr>
      <w:r>
        <w:t xml:space="preserve">Функция Search($dbn, $exp, $seq, $format, $numMfn = 20, $firstMfn = 0, $Min = 0, $Max = 0, $SortBy = ’’, $AscSortDir = true, $UseCacheInSearch = false, $asJson = false)</w:t>
      </w:r>
    </w:p>
    <w:bookmarkStart w:id="86" w:name="описание-функции-10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выполняет поиск записей в указанной базе данных и возвращает результаты в заданном формате.</w:t>
      </w:r>
    </w:p>
    <w:bookmarkEnd w:id="86"/>
    <w:bookmarkStart w:id="87" w:name="параметры-10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Search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51"/>
        <w:gridCol w:w="433"/>
        <w:gridCol w:w="64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$seq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 для последовательного поиска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нужно вернуть результат поиска. Например:</w:t>
            </w:r>
            <w:r>
              <w:t xml:space="preserve"> </w:t>
            </w:r>
            <w:r>
              <w:rPr>
                <w:rStyle w:val="VerbatimChar"/>
              </w:rPr>
              <w:t xml:space="preserve">@</w:t>
            </w:r>
            <w:r>
              <w:t xml:space="preserve"> </w:t>
            </w:r>
            <w:r>
              <w:t xml:space="preserve">- формат по умолчанию,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 </w:t>
            </w:r>
            <w:r>
              <w:t xml:space="preserve">- краткое описание,</w:t>
            </w:r>
            <w:r>
              <w:t xml:space="preserve"> </w:t>
            </w:r>
            <w:r>
              <w:rPr>
                <w:rStyle w:val="VerbatimChar"/>
              </w:rPr>
              <w:t xml:space="preserve">@API/info</w:t>
            </w:r>
            <w:r>
              <w:t xml:space="preserve"> </w:t>
            </w:r>
            <w:r>
              <w:t xml:space="preserve">- JSON-структура библиографической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$numMfn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$firstMfn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Номер первой записи в порции результатов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$Min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Минимальный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$Max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результата.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ограничение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$SortBy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сортировки. Если передана пустая строка, сортировка не применяется.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''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$AscSortDir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сортировка выполняется по возрастанию.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$UseCacheInSearch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используется кеш поиска.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  <w:tr>
        <w:tc>
          <w:tcPr/>
          <w:p>
            <w:pPr>
              <w:pStyle w:val="Compact"/>
            </w:pPr>
            <w:r>
              <w:t xml:space="preserve">$asJson</w:t>
            </w:r>
          </w:p>
        </w:tc>
        <w:tc>
          <w:tcPr/>
          <w:p>
            <w:pPr>
              <w:pStyle w:val="Compact"/>
            </w:pPr>
            <w:r>
              <w:t xml:space="preserve">bool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каждый элемент результата форматирования обрабатывается через</w:t>
            </w:r>
            <w:r>
              <w:t xml:space="preserve"> </w:t>
            </w:r>
            <w:r>
              <w:rPr>
                <w:rStyle w:val="VerbatimChar"/>
              </w:rPr>
              <w:t xml:space="preserve">json_decode</w:t>
            </w:r>
            <w:r>
              <w:t xml:space="preserve">.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false</w:t>
            </w:r>
          </w:p>
        </w:tc>
      </w:tr>
    </w:tbl>
    <w:bookmarkEnd w:id="87"/>
    <w:bookmarkStart w:id="89" w:name="возвращаемые-значения-9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 Нулевой элемент массива содержит количество найденных записей.</w:t>
      </w:r>
      <w:r>
        <w:t xml:space="preserve"> </w:t>
      </w:r>
      <w:r>
        <w:t xml:space="preserve">Если количество возвращаемых записей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, первый и последующие элементы содержат результат расформатирования.</w:t>
      </w:r>
    </w:p>
    <w:p>
      <w:pPr>
        <w:pStyle w:val="BodyText"/>
      </w:pPr>
      <w:r>
        <w:t xml:space="preserve">В общем случае каждый результат расформатирования возвращается строкой.</w:t>
      </w:r>
    </w:p>
    <w:p>
      <w:pPr>
        <w:pStyle w:val="BodyText"/>
      </w:pPr>
      <w:r>
        <w:t xml:space="preserve">Если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установлен в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функция пытается преобразовать каждый результат расформатирования через</w:t>
      </w:r>
      <w:r>
        <w:t xml:space="preserve"> </w:t>
      </w:r>
      <w:r>
        <w:rPr>
          <w:rStyle w:val="VerbatimChar"/>
        </w:rPr>
        <w:t xml:space="preserve">json_decode</w:t>
      </w:r>
      <w:r>
        <w:t xml:space="preserve">. Этот режим полезен для форматов, которые возвращают JSON-строку, например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: вместо строки клиент получает объект или массив, разобранный средствами JSON-RPC клиента.</w:t>
      </w:r>
    </w:p>
    <w:p>
      <w:pPr>
        <w:pStyle w:val="BodyText"/>
      </w:pPr>
      <w:r>
        <w:t xml:space="preserve">Нулевой элемент результата с количеством найденных записей не преобразуется. Если один из элементов не удалось разобрать как JSON, функция возвращает текущий массив результата без исключения; неразобранные элементы остаются строками формата.</w:t>
      </w:r>
    </w:p>
    <w:p>
      <w:pPr>
        <w:pStyle w:val="BodyText"/>
      </w:pPr>
      <w:r>
        <w:t xml:space="preserve">Подробное описание структуры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приведено в разделе</w:t>
      </w:r>
      <w:r>
        <w:t xml:space="preserve"> </w:t>
      </w:r>
      <w:hyperlink r:id="rId88">
        <w:r>
          <w:rPr>
            <w:rStyle w:val="Hyperlink"/>
          </w:rPr>
          <w:t xml:space="preserve">Формат API/info для библиографических записей</w:t>
        </w:r>
      </w:hyperlink>
      <w:r>
        <w:t xml:space="preserve">.</w:t>
      </w:r>
    </w:p>
    <w:bookmarkEnd w:id="89"/>
    <w:bookmarkStart w:id="90" w:name="пример-на-языке-php"/>
    <w:p>
      <w:pPr>
        <w:pStyle w:val="Heading4"/>
      </w:pPr>
      <w:r>
        <w:t xml:space="preserve">4. Пример на языке PHP</w:t>
      </w:r>
    </w:p>
    <w:p>
      <w:pPr>
        <w:pStyle w:val="SourceCode"/>
      </w:pPr>
      <w:r>
        <w:rPr>
          <w:rStyle w:val="CommentTok"/>
        </w:rPr>
        <w:t xml:space="preserve">// Подключение класса JSON-RPC 2.0 клиента</w:t>
      </w:r>
      <w:r>
        <w:br/>
      </w:r>
      <w:r>
        <w:rPr>
          <w:rStyle w:val="KeywordTok"/>
        </w:rPr>
        <w:t xml:space="preserve">require_once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'BaseJsonRpcClient.php'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URL подключения к API сервера</w:t>
      </w:r>
      <w:r>
        <w:br/>
      </w:r>
      <w:r>
        <w:rPr>
          <w:rStyle w:val="VariableTok"/>
        </w:rPr>
        <w:t xml:space="preserve">$entryUrl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'https://example.org/JSONRPC.php?i128Module=API'</w:t>
      </w:r>
      <w:r>
        <w:rPr>
          <w:rStyle w:val="OtherTok"/>
        </w:rPr>
        <w:t xml:space="preserve">;</w:t>
      </w:r>
      <w:r>
        <w:br/>
      </w:r>
      <w:r>
        <w:rPr>
          <w:rStyle w:val="CommentTok"/>
        </w:rPr>
        <w:t xml:space="preserve">// Использовать ли SSL</w:t>
      </w:r>
      <w:r>
        <w:br/>
      </w:r>
      <w:r>
        <w:rPr>
          <w:rStyle w:val="VariableTok"/>
        </w:rPr>
        <w:t xml:space="preserve">$ssl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Логин и пароль для подключения</w:t>
      </w:r>
      <w:r>
        <w:br/>
      </w:r>
      <w:r>
        <w:rPr>
          <w:rStyle w:val="VariableTok"/>
        </w:rPr>
        <w:t xml:space="preserve">$login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Создание подключения</w:t>
      </w:r>
      <w:r>
        <w:br/>
      </w:r>
      <w:r>
        <w:rPr>
          <w:rStyle w:val="VariableTok"/>
        </w:rPr>
        <w:t xml:space="preserve">$api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new</w:t>
      </w:r>
      <w:r>
        <w:rPr>
          <w:rStyle w:val="NormalTok"/>
        </w:rPr>
        <w:t xml:space="preserve"> BaseJsonRpcClient(</w:t>
      </w:r>
      <w:r>
        <w:rPr>
          <w:rStyle w:val="VariableTok"/>
        </w:rPr>
        <w:t xml:space="preserve">$entryUrl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$ssl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$login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$password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Установка параметров для вызова</w:t>
      </w:r>
      <w:r>
        <w:br/>
      </w:r>
      <w:r>
        <w:rPr>
          <w:rStyle w:val="VariableTok"/>
        </w:rPr>
        <w:t xml:space="preserve">$dbn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$exp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$seq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$numMfn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$firstMfn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$Min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$Max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$SortBy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$AscSortDir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$UseCacheInSearch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Выполнение поиска записей с указанными авторами по БД IBIS с запросом первой записи результата поиска</w:t>
      </w:r>
      <w:r>
        <w:br/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rPr>
          <w:rStyle w:val="VariableTok"/>
        </w:rPr>
        <w:t xml:space="preserve">$dbn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$exp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$seq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$format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$numMfn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$firstMfn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$Min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$SortBy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$AscSortDir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$UseCacheInSearch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$asJson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CommentTok"/>
        </w:rPr>
        <w:t xml:space="preserve">// Вывод полученного результата</w:t>
      </w:r>
      <w:r>
        <w:br/>
      </w:r>
      <w:r>
        <w:rPr>
          <w:rStyle w:val="FunctionTok"/>
        </w:rPr>
        <w:t xml:space="preserve">var_export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$result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адресе</w:t>
      </w:r>
      <w:r>
        <w:t xml:space="preserve"> </w:t>
      </w:r>
      <w:r>
        <w:rPr>
          <w:rStyle w:val="VerbatimChar"/>
        </w:rPr>
        <w:t xml:space="preserve">example.org</w:t>
      </w:r>
      <w:r>
        <w:t xml:space="preserve"> </w:t>
      </w:r>
      <w:r>
        <w:t xml:space="preserve">укажите адрес сервера ИРБИС 128.</w:t>
      </w:r>
    </w:p>
    <w:p>
      <w:pPr>
        <w:pStyle w:val="BodyText"/>
      </w:pPr>
      <w:r>
        <w:t xml:space="preserve">Результат работы скрипта:</w:t>
      </w:r>
    </w:p>
    <w:p>
      <w:pPr>
        <w:pStyle w:val="BodyText"/>
      </w:pPr>
      <w:r>
        <w:t xml:space="preserve">Всего запросу соответствует 177 записей, возвращена информация о первой из них в формате API/info.</w:t>
      </w:r>
    </w:p>
    <w:p>
      <w:pPr>
        <w:pStyle w:val="SourceCode"/>
      </w:pPr>
      <w:r>
        <w:rPr>
          <w:rStyle w:val="NormalTok"/>
        </w:rPr>
        <w:t xml:space="preserve">BaseJsonRpcCall::</w:t>
      </w:r>
      <w:r>
        <w:rPr>
          <w:rStyle w:val="BuiltInTok"/>
        </w:rPr>
        <w:t xml:space="preserve">__set_state</w:t>
      </w:r>
      <w:r>
        <w:rPr>
          <w:rStyle w:val="NormalTok"/>
        </w:rPr>
        <w:t xml:space="preserve">(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'Search'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2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3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4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5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6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7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8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9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11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177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'brief'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Николаевич. Android для пользователя : полезные программы и советы / Денис Колисниченко, 2013. - 254 с.'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'examplarInfo'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'Android для пользователя : полезные программы и советы'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'interestingArticles'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'onTabs'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'documentType'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'Однотомное издание'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'publicationCode'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'004.4/К 60-460343092'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'authors'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'Колисниченко, Денис Николаевич'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'unifiedFormHeader'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'transliteratedTitle'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'imprint'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'Санкт-Петербург: БХВ-Петербург, 2013'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'quantitativeCharacteristics'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'254 с.: ил + 24 см'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'teams'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'series'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'misreadTitles'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'translationOfThePublication'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'parallelEditions'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'braided'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'placeOfPublication'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'typeAndVolumeOfResource'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'systemRequirements'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'notes'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'Указ.'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'issn'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'isbn'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'978-5-9775-06 80-9: 130.50 р.'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'identificationNumber'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'grnti'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'20.53.31'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'udc'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'004.4'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'bbk'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'З884.16-56-05,0'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'subjectHeadings'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'Радиоэлектроника -- Электрическая связь -- Радиосвязь -- Радиотелефонная связь; Мобильная связь -- Радиотелефоны; Вычислительная техника -- Вычислительные машины электронные цифровые -- Автоматическая обработка информации; ANDROID, операционная система -- Программирование'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'meshNonMain'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'geographicalHeadings'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'descriptor'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'keywords'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'content'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'annotation'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'receiptsRegistered'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'thePublicationCanBeFoundIn'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</w:t>
      </w:r>
      <w:r>
        <w:rPr>
          <w:rStyle w:val="StringTok"/>
        </w:rPr>
        <w:t xml:space="preserve">'url'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(object)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'A'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PDF-файла.pdf'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'T'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'Пример PDF-файла'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</w:t>
      </w:r>
      <w:r>
        <w:rPr>
          <w:rStyle w:val="StringTok"/>
        </w:rPr>
        <w:t xml:space="preserve">'N'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'14'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90"/>
    <w:bookmarkEnd w:id="91"/>
    <w:bookmarkStart w:id="96" w:name="X4d5ba4b9e360c455781e82133ada29a77c61009"/>
    <w:p>
      <w:pPr>
        <w:pStyle w:val="Heading3"/>
      </w:pPr>
      <w:r>
        <w:t xml:space="preserve">Функция RecVirtualFormat($dbn, $format, $rec_array)</w:t>
      </w:r>
    </w:p>
    <w:bookmarkStart w:id="92" w:name="описание-функции-11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форматирует виртуальную запись: принимает массив полей записи, создает из него временный объект записи и выполняет для него заданный формат.</w:t>
      </w:r>
    </w:p>
    <w:p>
      <w:pPr>
        <w:pStyle w:val="BodyText"/>
      </w:pPr>
      <w:r>
        <w:t xml:space="preserve">В текущей реализации метод доступен через JSON-RPC сервер модуля</w:t>
      </w:r>
      <w:r>
        <w:t xml:space="preserve"> </w:t>
      </w:r>
      <w:r>
        <w:rPr>
          <w:rStyle w:val="VerbatimChar"/>
        </w:rPr>
        <w:t xml:space="preserve">Bitrix24</w:t>
      </w:r>
      <w:r>
        <w:t xml:space="preserve">:</w:t>
      </w:r>
      <w:r>
        <w:t xml:space="preserve"> </w:t>
      </w:r>
      <w:r>
        <w:rPr>
          <w:rStyle w:val="VerbatimChar"/>
        </w:rPr>
        <w:t xml:space="preserve">/JSONRPC.php?i128Module=Bitrix24</w:t>
      </w:r>
      <w:r>
        <w:t xml:space="preserve">. Он делегирует вызов функции</w:t>
      </w:r>
      <w:r>
        <w:t xml:space="preserve"> </w:t>
      </w:r>
      <w:r>
        <w:rPr>
          <w:rStyle w:val="VerbatimChar"/>
        </w:rPr>
        <w:t xml:space="preserve">Database::API_RecVirtualFormat($dbn, $format, $rec_array)</w:t>
      </w:r>
      <w:r>
        <w:t xml:space="preserve">.</w:t>
      </w:r>
    </w:p>
    <w:bookmarkEnd w:id="92"/>
    <w:bookmarkStart w:id="93" w:name="параметры-11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RecVirtualFormat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форматирование.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Имя формата или inline-формат, который нужно применить к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$rec_array</w:t>
            </w:r>
          </w:p>
        </w:tc>
        <w:tc>
          <w:tcPr/>
          <w:p>
            <w:pPr>
              <w:pStyle w:val="Compact"/>
            </w:pPr>
            <w: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Содержимое виртуальной записи в виде массива полей и подполей. Если клиент передал JSON-объект, сервер преобразует его в массив.</w:t>
            </w:r>
          </w:p>
        </w:tc>
      </w:tr>
    </w:tbl>
    <w:bookmarkEnd w:id="93"/>
    <w:bookmarkStart w:id="94" w:name="возвращаемые-значения-10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Возвращается текстовая строка с результатом форматирования. Если база данных не указана или не открывается, сервер возвращает ошибку JSON-RPC с текстом исключения.</w:t>
      </w:r>
    </w:p>
    <w:bookmarkEnd w:id="94"/>
    <w:bookmarkStart w:id="95" w:name="пример-параметра-rec_array"/>
    <w:p>
      <w:pPr>
        <w:pStyle w:val="Heading4"/>
      </w:pPr>
      <w:r>
        <w:t xml:space="preserve">4. Пример параметра</w:t>
      </w:r>
      <w:r>
        <w:t xml:space="preserve"> </w:t>
      </w:r>
      <w:r>
        <w:rPr>
          <w:rStyle w:val="VerbatimChar"/>
        </w:rPr>
        <w:t xml:space="preserve">rec_array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rPr>
          <w:rStyle w:val="StringTok"/>
        </w:rPr>
        <w:t xml:space="preserve">'*'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'"A=Пушкин$"'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bookmarkEnd w:id="95"/>
    <w:bookmarkEnd w:id="96"/>
    <w:bookmarkStart w:id="100" w:name="Xeb9f0b93f55c4f5301794305094a6fba2629715"/>
    <w:p>
      <w:pPr>
        <w:pStyle w:val="Heading3"/>
      </w:pPr>
      <w:r>
        <w:t xml:space="preserve">Функция GetTermList($dbn, $pref, $startTerm, $numTerms=20, $isBack = false, $format=’’)</w:t>
      </w:r>
    </w:p>
    <w:bookmarkStart w:id="97" w:name="описание-функции-12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поисковых терминов для вида поиска.</w:t>
      </w:r>
    </w:p>
    <w:bookmarkEnd w:id="97"/>
    <w:bookmarkStart w:id="98" w:name="параметры-12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GetTermList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pref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s</m:t>
              </m:r>
              <m:r>
                <m:t>t</m:t>
              </m:r>
              <m:r>
                <m:t>a</m:t>
              </m:r>
              <m:r>
                <m:t>r</m:t>
              </m:r>
              <m:r>
                <m:t>t</m:t>
              </m:r>
              <m:r>
                <m:t>T</m:t>
              </m:r>
              <m:r>
                <m:t>e</m:t>
              </m:r>
              <m:r>
                <m:t>r</m:t>
              </m:r>
              <m:r>
                <m:t>m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Н</m:t>
              </m:r>
              <m:r>
                <m:t>а</m:t>
              </m:r>
              <m:r>
                <m:t>ч</m:t>
              </m:r>
              <m:r>
                <m:t>а</m:t>
              </m:r>
              <m:r>
                <m:t>л</m:t>
              </m:r>
              <m:r>
                <m:t>ь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numTerms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терминов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s</m:t>
              </m:r>
              <m:r>
                <m:t>B</m:t>
              </m:r>
              <m:r>
                <m:t>a</m:t>
              </m:r>
              <m:r>
                <m:t>c</m:t>
              </m:r>
              <m:r>
                <m:t>k</m:t>
              </m:r>
              <m:r>
                <m:rPr>
                  <m:sty m:val="p"/>
                </m:rPr>
                <m:t>|</m:t>
              </m:r>
              <m:r>
                <m:t>b</m:t>
              </m:r>
              <m:r>
                <m:t>o</m:t>
              </m:r>
              <m:r>
                <m:t>o</m:t>
              </m:r>
              <m:r>
                <m:t>l</m:t>
              </m:r>
              <m:r>
                <m:rPr>
                  <m:sty m:val="p"/>
                </m:rPr>
                <m:t>|</m:t>
              </m:r>
              <m:r>
                <m:t>В</m:t>
              </m:r>
              <m:r>
                <m:t>е</m:t>
              </m:r>
              <m:r>
                <m:t>р</m:t>
              </m:r>
              <m:r>
                <m:t>н</m:t>
              </m:r>
              <m:r>
                <m:t>у</m:t>
              </m:r>
              <m:r>
                <m:t>т</m:t>
              </m:r>
              <m:r>
                <m:t>ь</m:t>
              </m:r>
              <m:r>
                <m:t>с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о</m:t>
              </m:r>
              <m:r>
                <m:t>к</m:t>
              </m:r>
              <m:r>
                <m:t>т</m:t>
              </m:r>
              <m:r>
                <m:t>е</m:t>
              </m:r>
              <m:r>
                <m:t>р</m:t>
              </m:r>
              <m:r>
                <m:t>м</m:t>
              </m:r>
              <m:r>
                <m:t>и</m:t>
              </m:r>
              <m:r>
                <m:t>н</m:t>
              </m:r>
              <m:r>
                <m:t>о</m:t>
              </m:r>
              <m:r>
                <m:t>в</m:t>
              </m:r>
              <m:r>
                <m:t>в</m:t>
              </m:r>
              <m:r>
                <m:t>о</m:t>
              </m:r>
              <m:r>
                <m:t>б</m:t>
              </m:r>
              <m:r>
                <m:t>р</m:t>
              </m:r>
              <m:r>
                <m:t>а</m:t>
              </m:r>
              <m:r>
                <m:t>т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п</m:t>
              </m:r>
              <m:r>
                <m:t>о</m:t>
              </m:r>
              <m:r>
                <m:t>р</m:t>
              </m:r>
              <m:r>
                <m:t>я</m:t>
              </m:r>
              <m:r>
                <m:t>д</m:t>
              </m:r>
              <m:r>
                <m:t>к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Формат, в котором вернуть результат поиска (первую запись), соответствующий термину. Например: @ - Формат по умолчанию</w:t>
            </w:r>
            <w:r>
              <w:t xml:space="preserve"> </w:t>
            </w:r>
            <w:r>
              <w:t xml:space="preserve">@brief</w:t>
            </w:r>
            <w:r>
              <w:t xml:space="preserve"> </w:t>
            </w:r>
            <w:r>
              <w:t xml:space="preserve">– краткое описание, &amp;uf(‘+0’) – В виде полей. подполей</w:t>
            </w:r>
          </w:p>
        </w:tc>
      </w:tr>
    </w:tbl>
    <w:bookmarkEnd w:id="98"/>
    <w:bookmarkStart w:id="99" w:name="возвращаемые-значения-11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результатами расформатирования записей.</w:t>
      </w:r>
    </w:p>
    <w:bookmarkEnd w:id="99"/>
    <w:bookmarkEnd w:id="100"/>
    <w:bookmarkStart w:id="104" w:name="X21e8252e9a2dce906c17b0b04293a07bb50c054"/>
    <w:p>
      <w:pPr>
        <w:pStyle w:val="Heading3"/>
      </w:pPr>
      <w:r>
        <w:t xml:space="preserve">Функция GetFasets($dbn, $exp, $celltype, $cellnum)</w:t>
      </w:r>
    </w:p>
    <w:bookmarkStart w:id="101" w:name="описание-функции-13"/>
    <w:p>
      <w:pPr>
        <w:pStyle w:val="Heading4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списка фасетов указанного типа для поиска по сводному каталогу.</w:t>
      </w:r>
    </w:p>
    <w:bookmarkEnd w:id="101"/>
    <w:bookmarkStart w:id="102" w:name="параметры-13"/>
    <w:p>
      <w:pPr>
        <w:pStyle w:val="Heading4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GetFasets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п</m:t>
              </m:r>
              <m:r>
                <m:t>о</m:t>
              </m:r>
              <m:r>
                <m:t>и</m:t>
              </m:r>
              <m:r>
                <m:t>с</m:t>
              </m:r>
              <m:r>
                <m:t>к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exp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c</m:t>
              </m:r>
              <m:r>
                <m:t>e</m:t>
              </m:r>
              <m:r>
                <m:t>l</m:t>
              </m:r>
              <m:r>
                <m:t>l</m:t>
              </m:r>
              <m:r>
                <m:t>t</m:t>
              </m:r>
              <m:r>
                <m:t>y</m:t>
              </m:r>
              <m:r>
                <m:t>p</m:t>
              </m:r>
              <m:r>
                <m:t>e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Т</m:t>
              </m:r>
              <m:r>
                <m:t>и</m:t>
              </m:r>
              <m:r>
                <m:t>п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rPr>
                  <m:sty m:val="p"/>
                </m:rPr>
                <m:t>.</m:t>
              </m:r>
              <m:r>
                <m:t>Н</m:t>
              </m:r>
              <m:r>
                <m:t>а</m:t>
              </m:r>
              <m:r>
                <m:t>п</m:t>
              </m:r>
              <m:r>
                <m:t>р</m:t>
              </m:r>
              <m:r>
                <m:t>и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rPr>
                  <m:sty m:val="p"/>
                </m:rPr>
                <m:t>:</m:t>
              </m:r>
              <m:r>
                <m:t>A</m:t>
              </m:r>
              <m:r>
                <m:rPr>
                  <m:sty m:val="p"/>
                </m:rPr>
                <m:t>=</m:t>
              </m:r>
              <m:r>
                <m:rPr>
                  <m:sty m:val="p"/>
                </m:rPr>
                <m:t>−</m:t>
              </m:r>
              <m:r>
                <m:t>д</m:t>
              </m:r>
              <m:r>
                <m:t>л</m:t>
              </m:r>
              <m:r>
                <m:t>я</m:t>
              </m:r>
              <m:r>
                <m:t>ф</m:t>
              </m:r>
              <m:r>
                <m:t>а</m:t>
              </m:r>
              <m:r>
                <m:t>с</m:t>
              </m:r>
              <m:r>
                <m:t>е</m:t>
              </m:r>
              <m:r>
                <m:t>т</m:t>
              </m:r>
              <m:r>
                <m:t>а</m:t>
              </m:r>
              <m:r>
                <m:t>п</m:t>
              </m:r>
              <m:r>
                <m:t>о</m:t>
              </m:r>
              <m:r>
                <m:t>а</m:t>
              </m:r>
              <m:r>
                <m:t>в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а</m:t>
              </m:r>
              <m:r>
                <m:t>м</m:t>
              </m:r>
              <m:r>
                <m:rPr>
                  <m:sty m:val="p"/>
                </m:rPr>
                <m:t>|</m:t>
              </m:r>
            </m:oMath>
            <w:r>
              <w:t xml:space="preserve">cellnum</w:t>
            </w:r>
          </w:p>
        </w:tc>
        <w:tc>
          <w:tcPr/>
          <w:p>
            <w:pPr>
              <w:pStyle w:val="Compact"/>
            </w:pPr>
            <w:r>
              <w:t xml:space="preserve">integer</w:t>
            </w:r>
          </w:p>
        </w:tc>
        <w:tc>
          <w:tcPr/>
          <w:p>
            <w:pPr>
              <w:pStyle w:val="Compact"/>
            </w:pPr>
            <w:r>
              <w:t xml:space="preserve">Количество возвращаемых фасетов</w:t>
            </w:r>
          </w:p>
        </w:tc>
      </w:tr>
    </w:tbl>
    <w:bookmarkEnd w:id="102"/>
    <w:bookmarkStart w:id="103" w:name="возвращаемые-значения-12"/>
    <w:p>
      <w:pPr>
        <w:pStyle w:val="Heading4"/>
      </w:pPr>
      <w:r>
        <w:t xml:space="preserve">3. Возвращаемые значения</w:t>
      </w:r>
    </w:p>
    <w:p>
      <w:pPr>
        <w:pStyle w:val="FirstParagraph"/>
      </w:pPr>
      <w:r>
        <w:t xml:space="preserve">Массив с информацией о фасетах в виде массива ассоциативных массивов, вида:</w:t>
      </w:r>
    </w:p>
    <w:p>
      <w:pPr>
        <w:pStyle w:val="SourceCode"/>
      </w:pPr>
      <w:r>
        <w:rPr>
          <w:rStyle w:val="VerbatimChar"/>
        </w:rPr>
        <w:t xml:space="preserve">array (</w:t>
      </w:r>
      <w:r>
        <w:br/>
      </w:r>
      <w:r>
        <w:rPr>
          <w:rStyle w:val="VerbatimChar"/>
        </w:rPr>
        <w:t xml:space="preserve">    0 =&gt; 176,</w:t>
      </w:r>
      <w:r>
        <w:br/>
      </w:r>
      <w:r>
        <w:rPr>
          <w:rStyle w:val="VerbatimChar"/>
        </w:rPr>
        <w:t xml:space="preserve">    1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'A=БУТИН, КИМ ПЕТРОВИЧ',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2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'A=РЕУТОВ, ОЛЕГ АЛЕКСАНДРОВИЧ',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3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4,</w:t>
      </w:r>
      <w:r>
        <w:br/>
      </w:r>
      <w:r>
        <w:rPr>
          <w:rStyle w:val="VerbatimChar"/>
        </w:rPr>
        <w:t xml:space="preserve">      'term' =&gt; 'A=КУРЦ, АЛЕКСАНДР ЛЕОНИДОВИЧ',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4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'A=БОРЯЕВ, А. П.',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  5 =&gt; </w:t>
      </w:r>
      <w:r>
        <w:br/>
      </w:r>
      <w:r>
        <w:rPr>
          <w:rStyle w:val="VerbatimChar"/>
        </w:rPr>
        <w:t xml:space="preserve">    array (</w:t>
      </w:r>
      <w:r>
        <w:br/>
      </w:r>
      <w:r>
        <w:rPr>
          <w:rStyle w:val="VerbatimChar"/>
        </w:rPr>
        <w:t xml:space="preserve">      'num' =&gt; 3,</w:t>
      </w:r>
      <w:r>
        <w:br/>
      </w:r>
      <w:r>
        <w:rPr>
          <w:rStyle w:val="VerbatimChar"/>
        </w:rPr>
        <w:t xml:space="preserve">      'term' =&gt; 'A=ПЕРЕЛЬМАН, В. Я.',</w:t>
      </w:r>
      <w:r>
        <w:br/>
      </w:r>
      <w:r>
        <w:rPr>
          <w:rStyle w:val="VerbatimChar"/>
        </w:rPr>
        <w:t xml:space="preserve">    ),</w:t>
      </w:r>
      <w:r>
        <w:br/>
      </w:r>
      <w:r>
        <w:rPr>
          <w:rStyle w:val="VerbatimChar"/>
        </w:rPr>
        <w:t xml:space="preserve">  ),</w:t>
      </w:r>
      <w:r>
        <w:br/>
      </w:r>
      <w:r>
        <w:rPr>
          <w:rStyle w:val="VerbatimChar"/>
        </w:rPr>
        <w:t xml:space="preserve">))</w:t>
      </w:r>
    </w:p>
    <w:p>
      <w:pPr>
        <w:pStyle w:val="FirstParagraph"/>
      </w:pPr>
      <w:r>
        <w:t xml:space="preserve">В нулевом элементе массива возвращается количество найденных записей, соответствующих поисковому выражению.</w:t>
      </w:r>
    </w:p>
    <w:p>
      <w:pPr>
        <w:pStyle w:val="SourceCode"/>
      </w:pPr>
      <w:r>
        <w:rPr>
          <w:rStyle w:val="VerbatimChar"/>
        </w:rPr>
        <w:t xml:space="preserve">      'num' =&gt; Количество ссылок на термин</w:t>
      </w:r>
      <w:r>
        <w:br/>
      </w:r>
      <w:r>
        <w:rPr>
          <w:rStyle w:val="VerbatimChar"/>
        </w:rPr>
        <w:t xml:space="preserve">      'term' =&gt; Поисковый термин</w:t>
      </w:r>
    </w:p>
    <w:bookmarkEnd w:id="103"/>
    <w:bookmarkEnd w:id="104"/>
    <w:bookmarkEnd w:id="105"/>
    <w:bookmarkStart w:id="110" w:name="X8257e00f6971b6afa346d0bb438e1302a8f6479"/>
    <w:p>
      <w:pPr>
        <w:pStyle w:val="Heading2"/>
      </w:pPr>
      <w:r>
        <w:t xml:space="preserve">Формат API/info для библиографических записей</w:t>
      </w:r>
    </w:p>
    <w:p>
      <w:pPr>
        <w:pStyle w:val="FirstParagraph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возвращает библиографическую запись в виде JSON-структуры для внешних интеграций и портальных решений. Его удобно использовать, когда клиенту нужны не HTML-фрагменты, а заранее разложенные поля: заглавие, авторы, выходные данные, классификационные индексы, ключевые слова, аннотация, сведения об экземплярах и ссылки на внешние объекты.</w:t>
      </w:r>
    </w:p>
    <w:bookmarkStart w:id="106" w:name="использование"/>
    <w:p>
      <w:pPr>
        <w:pStyle w:val="Heading3"/>
      </w:pPr>
      <w:r>
        <w:t xml:space="preserve">1. Использование</w:t>
      </w:r>
    </w:p>
    <w:p>
      <w:pPr>
        <w:pStyle w:val="FirstParagraph"/>
      </w:pPr>
      <w:r>
        <w:t xml:space="preserve">В JSON-RPC методе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 </w:t>
      </w:r>
      <w:r>
        <w:t xml:space="preserve">формат передается параметром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$api</w:t>
      </w:r>
      <w:r>
        <w:rPr>
          <w:rStyle w:val="NormalTok"/>
        </w:rPr>
        <w:t xml:space="preserve">-&gt;Search(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'A=$'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'@API/info'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false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true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последний параметр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true</w:t>
      </w:r>
      <w:r>
        <w:t xml:space="preserve">, метод пытается преобразовать каждую отформатированную запись из JSON-строки в объект. Если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 </w:t>
      </w:r>
      <w:r>
        <w:t xml:space="preserve">равен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, результат форматирования возвращается как строка.</w:t>
      </w:r>
    </w:p>
    <w:p>
      <w:pPr>
        <w:pStyle w:val="BodyText"/>
      </w:pPr>
      <w:r>
        <w:t xml:space="preserve">Тот же формат можно применять в других точках, где доступно форматирование ИРБИС 128 с указанием контейнера формата</w:t>
      </w:r>
      <w:r>
        <w:t xml:space="preserve"> </w:t>
      </w:r>
      <w:r>
        <w:rPr>
          <w:rStyle w:val="VerbatimChar"/>
        </w:rPr>
        <w:t xml:space="preserve">API</w:t>
      </w:r>
      <w:r>
        <w:t xml:space="preserve">, например через вызовы, которые принимают имя формата в виде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.</w:t>
      </w:r>
    </w:p>
    <w:bookmarkEnd w:id="106"/>
    <w:bookmarkStart w:id="107" w:name="как-формируется-результат"/>
    <w:p>
      <w:pPr>
        <w:pStyle w:val="Heading3"/>
      </w:pPr>
      <w:r>
        <w:t xml:space="preserve">2. Как формируется результат</w:t>
      </w:r>
    </w:p>
    <w:p>
      <w:pPr>
        <w:pStyle w:val="FirstParagraph"/>
      </w:pPr>
      <w:r>
        <w:t xml:space="preserve">Основной PHP-формат находится в</w:t>
      </w:r>
      <w:r>
        <w:t xml:space="preserve"> </w:t>
      </w:r>
      <w:r>
        <w:rPr>
          <w:rStyle w:val="VerbatimChar"/>
        </w:rPr>
        <w:t xml:space="preserve">modules/API/Formats/info.pft128</w:t>
      </w:r>
      <w:r>
        <w:t xml:space="preserve">. Он формирует служебные поля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examplarInfo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</w:t>
      </w:r>
      <w:r>
        <w:t xml:space="preserve">, затем вызывает подформат</w:t>
      </w:r>
      <w:r>
        <w:t xml:space="preserve"> </w:t>
      </w:r>
      <w:r>
        <w:rPr>
          <w:rStyle w:val="VerbatimChar"/>
        </w:rPr>
        <w:t xml:space="preserve">@api_info</w:t>
      </w:r>
      <w:r>
        <w:t xml:space="preserve">.</w:t>
      </w:r>
    </w:p>
    <w:p>
      <w:pPr>
        <w:pStyle w:val="BodyText"/>
      </w:pPr>
      <w:r>
        <w:t xml:space="preserve">Формат</w:t>
      </w:r>
      <w:r>
        <w:t xml:space="preserve"> </w:t>
      </w:r>
      <w:r>
        <w:rPr>
          <w:rStyle w:val="VerbatimChar"/>
        </w:rPr>
        <w:t xml:space="preserve">api_info.pft</w:t>
      </w:r>
      <w:r>
        <w:t xml:space="preserve"> </w:t>
      </w:r>
      <w:r>
        <w:t xml:space="preserve">собирает XML-блок из набора отдельных PFT-файлов</w:t>
      </w:r>
      <w:r>
        <w:t xml:space="preserve"> </w:t>
      </w:r>
      <w:r>
        <w:rPr>
          <w:rStyle w:val="VerbatimChar"/>
        </w:rPr>
        <w:t xml:space="preserve">api_info_*.pft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переносит эти блоки в JSON-поля. PFT-файлы поставляются в составе дистрибутивных данных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в каталоге</w:t>
      </w:r>
      <w:r>
        <w:t xml:space="preserve"> </w:t>
      </w:r>
      <w:r>
        <w:rPr>
          <w:rStyle w:val="VerbatimChar"/>
        </w:rPr>
        <w:t xml:space="preserve">Distr/datai/deposit</w:t>
      </w:r>
      <w:r>
        <w:t xml:space="preserve"> </w:t>
      </w:r>
      <w:r>
        <w:t xml:space="preserve">и рассчитаны на библиографические записи депозитной структуры.</w:t>
      </w:r>
    </w:p>
    <w:bookmarkEnd w:id="107"/>
    <w:bookmarkStart w:id="108" w:name="поля-json"/>
    <w:p>
      <w:pPr>
        <w:pStyle w:val="Heading3"/>
      </w:pPr>
      <w:r>
        <w:t xml:space="preserve">3. Поля JSON</w:t>
      </w:r>
    </w:p>
    <w:p>
      <w:pPr>
        <w:pStyle w:val="FirstParagraph"/>
      </w:pPr>
      <w:r>
        <w:t xml:space="preserve">Таблица 1. Поля формата API/info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Источник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краткое библиографическое описание, сформированное внутри</w:t>
            </w:r>
            <w:r>
              <w:t xml:space="preserve"> </w:t>
            </w:r>
            <w:r>
              <w:rPr>
                <w:rStyle w:val="VerbatimChar"/>
              </w:rPr>
              <w:t xml:space="preserve">info.pft128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examplarInfo</w:t>
            </w:r>
          </w:p>
        </w:tc>
        <w:tc>
          <w:tcPr/>
          <w:p>
            <w:pPr>
              <w:pStyle w:val="Compact"/>
            </w:pPr>
            <w:r>
              <w:t xml:space="preserve">сведения об экземплярах из</w:t>
            </w:r>
            <w:r>
              <w:t xml:space="preserve"> </w:t>
            </w:r>
            <w:r>
              <w:rPr>
                <w:rStyle w:val="VerbatimChar"/>
              </w:rPr>
              <w:t xml:space="preserve">RQST::GetExemplarsInfo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interestingArticles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api_info_interesting_articles.pft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onTabs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api_info_on_tabs.pft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documentType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api_info_document_type.pft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publicationCode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903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api_info_authors.pft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unifiedFormHeader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  <w:r>
              <w:t xml:space="preserve"> </w:t>
            </w:r>
            <w:r>
              <w:rPr>
                <w:rStyle w:val="VerbatimChar"/>
              </w:rPr>
              <w:t xml:space="preserve">503^a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transliteratedTitle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api_info_transliterated_title.pft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imprint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api_info_imprint.pft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quantitativeCharacteristics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api_info_quantitative_characteristics.pft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api_info_teams.pft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series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api_info_series.pft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misreadTitles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api_info_misread_titles.pft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translationOfThePublication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api_info_translation_of_the_publication.pft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parallelEditions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api_info_parallel_editions.pft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braided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api_info_braided.pft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placeOfPublication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api_info_place_of_publication.pft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typeAndVolumeOfResource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api_info_type_and_volume_of_resource.pft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systemRequirements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api_info_system_requirements.pft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notes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api_info_notes.pft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issn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api_info_issn.pft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isbn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api_info_isbn.pft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identificationNumber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api_info_identification_number.pft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grnti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api_info_grnti.pft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api_info_udc.pft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api_info_bbk.pft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subjectHeadings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api_info_subject_headings.pft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meshNonMain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api_info_mesh_nonmain.pft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geographicalHeadings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api_info_geographical_headings.pft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descriptor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api_info_descriptor.pft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keywords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api_info_keywords.pft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api_info_content.pft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annotation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api_info_annotation.pft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receiptsRegistered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api_info_receipts_registered.pft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thePublicationCanBeFoundIn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api_info_the_publication_can_be_found_in.pft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url</w:t>
            </w:r>
          </w:p>
        </w:tc>
        <w:tc>
          <w:tcPr/>
          <w:p>
            <w:pPr>
              <w:pStyle w:val="Compact"/>
            </w:pPr>
            <w:r>
              <w:t xml:space="preserve">поле записи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  <w:r>
              <w:t xml:space="preserve">, возвращается как массив подполей</w:t>
            </w:r>
          </w:p>
        </w:tc>
      </w:tr>
    </w:tbl>
    <w:bookmarkEnd w:id="108"/>
    <w:bookmarkStart w:id="109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12"/>
        </w:numPr>
      </w:pPr>
      <w:r>
        <w:t xml:space="preserve">формат ориентирован на библиографические записи, где заполнены поля депозитной структуры;</w:t>
      </w:r>
    </w:p>
    <w:p>
      <w:pPr>
        <w:pStyle w:val="Compact"/>
        <w:numPr>
          <w:ilvl w:val="0"/>
          <w:numId w:val="1012"/>
        </w:numPr>
      </w:pPr>
      <w:r>
        <w:t xml:space="preserve">пустые библиографические блоки возвращаются как пустые строки;</w:t>
      </w:r>
    </w:p>
    <w:p>
      <w:pPr>
        <w:pStyle w:val="Compact"/>
        <w:numPr>
          <w:ilvl w:val="0"/>
          <w:numId w:val="1012"/>
        </w:numPr>
      </w:pPr>
      <w:r>
        <w:t xml:space="preserve">если результат используется через JSON-RPC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для получения объектов вместо строк нужно передавать</w:t>
      </w:r>
      <w:r>
        <w:t xml:space="preserve"> </w:t>
      </w:r>
      <w:r>
        <w:rPr>
          <w:rStyle w:val="VerbatimChar"/>
        </w:rPr>
        <w:t xml:space="preserve">$asJson = true</w:t>
      </w:r>
      <w:r>
        <w:t xml:space="preserve">;</w:t>
      </w:r>
    </w:p>
    <w:p>
      <w:pPr>
        <w:pStyle w:val="Compact"/>
        <w:numPr>
          <w:ilvl w:val="0"/>
          <w:numId w:val="1012"/>
        </w:numPr>
      </w:pPr>
      <w:r>
        <w:t xml:space="preserve">состав и смысл полей JSON являются частью контракта интеграции, поэтому при изменении PFT-файлов нужно сохранять имена полей.</w:t>
      </w:r>
    </w:p>
    <w:bookmarkEnd w:id="109"/>
    <w:bookmarkEnd w:id="110"/>
    <w:bookmarkEnd w:id="1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AdapterProfiles" TargetMode="External" /><Relationship Type="http://schemas.openxmlformats.org/officeDocument/2006/relationships/hyperlink" Id="rId10" Target="?id=Help/Show&amp;m=API/Help/Contracts" TargetMode="External" /><Relationship Type="http://schemas.openxmlformats.org/officeDocument/2006/relationships/hyperlink" Id="rId88" Target="?id=Help/Show&amp;m=API/Help/Formats/Info" TargetMode="External" /><Relationship Type="http://schemas.openxmlformats.org/officeDocument/2006/relationships/hyperlink" Id="rId9" Target="?id=Help/Show&amp;m=API/Help/JsonRPC/Root" TargetMode="External" /><Relationship Type="http://schemas.openxmlformats.org/officeDocument/2006/relationships/hyperlink" Id="rId12" Target="?id=Help/Show&amp;m=API/Help/MappingAndExternalIds" TargetMode="External" /><Relationship Type="http://schemas.openxmlformats.org/officeDocument/2006/relationships/hyperlink" Id="rId13" Target="?id=Help/Show&amp;m=API/Help/SyncPolicies" TargetMode="External" /><Relationship Type="http://schemas.openxmlformats.org/officeDocument/2006/relationships/hyperlink" Id="rId36" Target="modules/API/Help/JsonRPC/testjsonrpc.zi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API ИРБИС 64/128</dc:title>
  <dc:creator/>
  <cp:keywords/>
  <dcterms:created xsi:type="dcterms:W3CDTF">2026-10-03T23:09:49Z</dcterms:created>
  <dcterms:modified xsi:type="dcterms:W3CDTF">2026-10-03T23:09:49Z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