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[I128-2389] Документировать действия явной паузы и запуска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30230ad2f78ccd4e260ec010e74b6b859a3cc1"/>
    <w:p>
      <w:pPr>
        <w:pStyle w:val="Heading1"/>
      </w:pPr>
      <w:r>
        <w:t xml:space="preserve">[I128-2389] Документировать действия явной паузы и запуска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в разделе управления состоянием очереди добавлено описание прямых действий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уточняет разницу между кнопкой-переключателем на панели мониторинга и прямыми действиями для автоматизированных сценариев: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гарантированно переводит очередь в состояние паузы, а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гарантированно возобновляет обработку задач.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70"/>
    <w:p>
      <w:pPr>
        <w:pStyle w:val="Heading3"/>
      </w:pPr>
      <w:r>
        <w:t xml:space="preserve">1.1. 🔗 Соответствует задача: I128-2370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[I128-2370]</w:t>
        </w:r>
      </w:hyperlink>
      <w:r>
        <w:t xml:space="preserve"> </w:t>
      </w:r>
      <w:r>
        <w:t xml:space="preserve">Явное управление состоянием паузы в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[I128-2389] Документировать действия явной паузы и запуска очереди задач</dc:title>
  <dc:creator/>
  <cp:keywords/>
  <dcterms:created xsi:type="dcterms:W3CDTF">2026-10-08T23:38:00Z</dcterms:created>
  <dcterms:modified xsi:type="dcterms:W3CDTF">2026-10-08T23:38:00Z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