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Ядро доступа к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4" w:name="ядро-доступа-к-ирбис64"/>
    <w:p>
      <w:pPr>
        <w:pStyle w:val="Heading1"/>
      </w:pPr>
      <w:r>
        <w:t xml:space="preserve">Ядро доступа к ИРБИС64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является центральным адаптером ИРБИС 128 к данным и серверу ИРБИС64. Он инициализирует корневой провайдер, открывает базы, читает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возвращает объекты баз данных, выполняет поиск, форматирование, пакетную обработку записей и расшифровку кодов ошибок.</w:t>
      </w:r>
    </w:p>
    <w:p>
      <w:pPr>
        <w:pStyle w:val="BodyText"/>
      </w:pPr>
      <w:r>
        <w:t xml:space="preserve">Модуль также содержит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с поставкой серверной части, клиентских утилит, типовых баз, форматов, рабочих листов, справочников и документации ИРБИС64. В Help описывается роль этой поставки в системе, а не полный перечень файлов.</w:t>
      </w:r>
    </w:p>
    <w:bookmarkStart w:id="12" w:name="назначение-модуля-i128f"/>
    <w:p>
      <w:pPr>
        <w:pStyle w:val="Heading2"/>
      </w:pPr>
      <w:r>
        <w:t xml:space="preserve">Назначение модуля i128f</w:t>
      </w:r>
    </w:p>
    <w:p>
      <w:pPr>
        <w:pStyle w:val="FirstParagraph"/>
      </w:pPr>
      <w:r>
        <w:rPr>
          <w:rStyle w:val="VerbatimChar"/>
        </w:rPr>
        <w:t xml:space="preserve">i128f</w:t>
      </w:r>
      <w:r>
        <w:t xml:space="preserve"> </w:t>
      </w:r>
      <w:r>
        <w:t xml:space="preserve">связывает модули ИРБИС 128 с базами и серверной инфраструктурой ИРБИС64. Через него большинство прикладных модулей получают доступ к объектам баз данных, системным INI-файлам, форматированию записей, поиску и массовой обработке.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получить общий экземпляр модуля через</w:t>
      </w:r>
      <w:r>
        <w:t xml:space="preserve"> </w:t>
      </w:r>
      <w:r>
        <w:rPr>
          <w:rStyle w:val="VerbatimChar"/>
        </w:rPr>
        <w:t xml:space="preserve">i128f::getInstance()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подключить корневой провайдер ИРБИС64 при старте системы;</w:t>
      </w:r>
    </w:p>
    <w:p>
      <w:pPr>
        <w:pStyle w:val="Compact"/>
        <w:numPr>
          <w:ilvl w:val="0"/>
          <w:numId w:val="1001"/>
        </w:numPr>
      </w:pPr>
      <w:r>
        <w:t xml:space="preserve">открыть базу данных по мнемоническому имени через</w:t>
      </w:r>
      <w:r>
        <w:t xml:space="preserve"> </w:t>
      </w:r>
      <w:r>
        <w:rPr>
          <w:rStyle w:val="VerbatimChar"/>
        </w:rPr>
        <w:t xml:space="preserve">GetDb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OpenDbByMnemonicName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прочитать и объединить настройки ARM, базы 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получить файл из базы или кэша</w:t>
      </w:r>
      <w:r>
        <w:t xml:space="preserve"> </w:t>
      </w:r>
      <w:r>
        <w:rPr>
          <w:rStyle w:val="VerbatimChar"/>
        </w:rPr>
        <w:t xml:space="preserve">DATAIS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найти первую запись или набор записей по поисковому выражению;</w:t>
      </w:r>
    </w:p>
    <w:p>
      <w:pPr>
        <w:pStyle w:val="Compact"/>
        <w:numPr>
          <w:ilvl w:val="0"/>
          <w:numId w:val="1001"/>
        </w:numPr>
      </w:pPr>
      <w:r>
        <w:t xml:space="preserve">выполнить функцию для каждой записи результата поиска через</w:t>
      </w:r>
      <w:r>
        <w:t xml:space="preserve"> </w:t>
      </w:r>
      <w:r>
        <w:rPr>
          <w:rStyle w:val="VerbatimChar"/>
        </w:rPr>
        <w:t xml:space="preserve">ForEachRecord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выполнить обработку связанных записей через</w:t>
      </w:r>
      <w:r>
        <w:t xml:space="preserve"> </w:t>
      </w:r>
      <w:r>
        <w:rPr>
          <w:rStyle w:val="VerbatimChar"/>
        </w:rPr>
        <w:t xml:space="preserve">ForEachLinked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отформатировать записи через форматы ИРБИС 128;</w:t>
      </w:r>
    </w:p>
    <w:p>
      <w:pPr>
        <w:pStyle w:val="Compact"/>
        <w:numPr>
          <w:ilvl w:val="0"/>
          <w:numId w:val="1001"/>
        </w:numPr>
      </w:pPr>
      <w:r>
        <w:t xml:space="preserve">создать или удалить записи и базы служебными методами;</w:t>
      </w:r>
    </w:p>
    <w:p>
      <w:pPr>
        <w:pStyle w:val="Compact"/>
        <w:numPr>
          <w:ilvl w:val="0"/>
          <w:numId w:val="1001"/>
        </w:numPr>
      </w:pPr>
      <w:r>
        <w:t xml:space="preserve">преобразовать коды ошибок ИРБИС в пользовательский русский текст.</w:t>
      </w:r>
    </w:p>
    <w:bookmarkEnd w:id="9"/>
    <w:bookmarkStart w:id="10" w:name="важные-зависимости"/>
    <w:p>
      <w:pPr>
        <w:pStyle w:val="Heading3"/>
      </w:pPr>
      <w:r>
        <w:t xml:space="preserve">2. Важные зависимости</w:t>
      </w:r>
    </w:p>
    <w:p>
      <w:pPr>
        <w:pStyle w:val="FirstParagraph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Opt</w:t>
      </w:r>
      <w:r>
        <w:t xml:space="preserve">,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один из провайдеров доступа к ИРБИС64.</w:t>
      </w:r>
    </w:p>
    <w:p>
      <w:pPr>
        <w:pStyle w:val="BodyText"/>
      </w:pPr>
      <w:r>
        <w:t xml:space="preserve">Открытая база кэшируется внутри модуля. Если база первый раз открыта в режиме только чтения через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дальнейшие обращения к этой базе используют уже созданный объект.</w:t>
      </w:r>
    </w:p>
    <w:bookmarkEnd w:id="10"/>
    <w:bookmarkStart w:id="11" w:name="служебные-функции-__call"/>
    <w:p>
      <w:pPr>
        <w:pStyle w:val="Heading3"/>
      </w:pPr>
      <w:r>
        <w:t xml:space="preserve">3. Служебные функции</w:t>
      </w:r>
      <w:r>
        <w:t xml:space="preserve"> </w:t>
      </w:r>
      <w:r>
        <w:rPr>
          <w:rStyle w:val="VerbatimChar"/>
        </w:rPr>
        <w:t xml:space="preserve">__call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SimpleForm</w:t>
      </w:r>
      <w:r>
        <w:t xml:space="preserve"> </w:t>
      </w:r>
      <w:r>
        <w:t xml:space="preserve">возвращает клиентский код старой ExtJS-формы;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SaveTaskExec</w:t>
      </w:r>
      <w:r>
        <w:t xml:space="preserve"> </w:t>
      </w:r>
      <w:r>
        <w:t xml:space="preserve">выполняет пакет сохранения записей из объекта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Utf8ToRtf</w:t>
      </w:r>
      <w:r>
        <w:t xml:space="preserve"> </w:t>
      </w:r>
      <w:r>
        <w:t xml:space="preserve">преобразует Unicode-символы в RTF-последовательности;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FER_Preload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FER_Download</w:t>
      </w:r>
      <w:r>
        <w:t xml:space="preserve"> </w:t>
      </w:r>
      <w:r>
        <w:t xml:space="preserve">предварительно загружают большие результаты поиска по порциям во временные SID-файлы.</w:t>
      </w:r>
    </w:p>
    <w:p>
      <w:pPr>
        <w:pStyle w:val="FirstParagraph"/>
      </w:pPr>
      <w:r>
        <w:t xml:space="preserve">Эти функции поддерживают старые интерфейсы и массовые операции. Их нужно вызывать только в контексте соответствующих сценариев, потому что они работают с HTTP-параметрами, SID-файлами и текущими настройками доступа к базам.</w:t>
      </w:r>
    </w:p>
    <w:bookmarkEnd w:id="11"/>
    <w:bookmarkEnd w:id="12"/>
    <w:bookmarkStart w:id="18" w:name="методы-класса-i128f"/>
    <w:p>
      <w:pPr>
        <w:pStyle w:val="Heading2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13" w:name="получение-экземпляра-и-подключение"/>
    <w:p>
      <w:pPr>
        <w:pStyle w:val="Heading3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13"/>
    <w:bookmarkStart w:id="14" w:name="базы-данных-и-файлы"/>
    <w:p>
      <w:pPr>
        <w:pStyle w:val="Heading3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4"/>
    <w:bookmarkStart w:id="15" w:name="поиск-и-обработка-записей"/>
    <w:p>
      <w:pPr>
        <w:pStyle w:val="Heading3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5"/>
    <w:bookmarkStart w:id="16" w:name="форматирование-и-служебные-операции"/>
    <w:p>
      <w:pPr>
        <w:pStyle w:val="Heading3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6"/>
    <w:bookmarkStart w:id="17" w:name="совместимость-и-устаревающие-методы"/>
    <w:p>
      <w:pPr>
        <w:pStyle w:val="Heading3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7"/>
    <w:bookmarkEnd w:id="18"/>
    <w:bookmarkStart w:id="23" w:name="состояние-модуля-i128f"/>
    <w:p>
      <w:pPr>
        <w:pStyle w:val="Heading2"/>
      </w:pPr>
      <w:r>
        <w:t xml:space="preserve">Состояние модуля i128f</w:t>
      </w:r>
    </w:p>
    <w:p>
      <w:pPr>
        <w:pStyle w:val="FirstParagraph"/>
      </w:pPr>
      <w:r>
        <w:t xml:space="preserve">Раздел описывает служебные свойства, через которые 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хранит состояние подключения к ИРБИС64 и кэш уже открытых баз. Эти свойства нужны для внутренней работы модуля; внешний код должен пользоваться публичными методами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</w:t>
      </w:r>
    </w:p>
    <w:bookmarkStart w:id="19" w:name="инициализация-подключения"/>
    <w:p>
      <w:pPr>
        <w:pStyle w:val="Heading3"/>
      </w:pPr>
      <w:r>
        <w:t xml:space="preserve">1. Инициализация подключения</w:t>
      </w:r>
    </w:p>
    <w:p>
      <w:pPr>
        <w:pStyle w:val="FirstParagraph"/>
      </w:pPr>
      <w:r>
        <w:t xml:space="preserve">При запуске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задает имя и тип модуля, проверяет базовые параметры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 затем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. До успешного подключения состояние явно инициализировано начальными значениями: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$IsConnected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$IsConnecting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$debugmode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true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Connect()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как защиту от повторного входа. Если подключение уже выполнено или выполняется, метод сразу завершает работу. При начале подключения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становится</w:t>
      </w:r>
      <w:r>
        <w:t xml:space="preserve"> </w:t>
      </w:r>
      <w:r>
        <w:rPr>
          <w:rStyle w:val="VerbatimChar"/>
        </w:rPr>
        <w:t xml:space="preserve">true</w:t>
      </w:r>
      <w:r>
        <w:t xml:space="preserve">; после инициализации корневого провайдера и чтения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модуль устанавливает</w:t>
      </w:r>
      <w:r>
        <w:t xml:space="preserve"> </w:t>
      </w:r>
      <w:r>
        <w:rPr>
          <w:rStyle w:val="VerbatimChar"/>
        </w:rPr>
        <w:t xml:space="preserve">$IsConnected = true</w:t>
      </w:r>
      <w:r>
        <w:t xml:space="preserve"> </w:t>
      </w:r>
      <w:r>
        <w:t xml:space="preserve">и возвращает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Пока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не установлен,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не возвращает объект базы. Это защищает вызывающий код от работы с неинициализированным корневым провайдером.</w:t>
      </w:r>
    </w:p>
    <w:bookmarkEnd w:id="19"/>
    <w:bookmarkStart w:id="20" w:name="кэш-открытых-баз"/>
    <w:p>
      <w:pPr>
        <w:pStyle w:val="Heading3"/>
      </w:pPr>
      <w:r>
        <w:t xml:space="preserve">2. Кэш открытых баз</w:t>
      </w:r>
    </w:p>
    <w:p>
      <w:pPr>
        <w:pStyle w:val="FirstParagraph"/>
      </w:pPr>
      <w:r>
        <w:rPr>
          <w:rStyle w:val="VerbatimChar"/>
        </w:rPr>
        <w:t xml:space="preserve">$Databases</w:t>
      </w:r>
      <w:r>
        <w:t xml:space="preserve"> </w:t>
      </w:r>
      <w:r>
        <w:t xml:space="preserve">объявлен как приватный массив</w:t>
      </w:r>
      <w:r>
        <w:t xml:space="preserve"> </w:t>
      </w:r>
      <w:r>
        <w:rPr>
          <w:rStyle w:val="VerbatimChar"/>
        </w:rPr>
        <w:t xml:space="preserve">array&lt;string, ObjectDataDatabase&gt;</w:t>
      </w:r>
      <w:r>
        <w:t xml:space="preserve"> </w:t>
      </w:r>
      <w:r>
        <w:t xml:space="preserve">и сразу инициализирован пустым массивом. Ключом служит мнемоническое имя базы, а значением -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сначала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 затем проверяет имя базы. Если имя начинается с</w:t>
      </w:r>
      <w:r>
        <w:t xml:space="preserve"> </w:t>
      </w:r>
      <w:r>
        <w:rPr>
          <w:rStyle w:val="VerbatimChar"/>
        </w:rPr>
        <w:t xml:space="preserve">-</w:t>
      </w:r>
      <w:r>
        <w:t xml:space="preserve">, база открывается в режиме только чтения, а для ключа кэша используется имя без префикса. Если база уже есть в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, метод возвращает существующий объект без повторного открытия.</w:t>
      </w:r>
    </w:p>
    <w:p>
      <w:pPr>
        <w:pStyle w:val="BodyText"/>
      </w:pPr>
      <w:r>
        <w:t xml:space="preserve">Когда база открывается впервые, модуль:</w:t>
      </w:r>
    </w:p>
    <w:p>
      <w:pPr>
        <w:pStyle w:val="Compact"/>
        <w:numPr>
          <w:ilvl w:val="0"/>
          <w:numId w:val="1004"/>
        </w:numPr>
      </w:pPr>
      <w:r>
        <w:t xml:space="preserve">создает объект базы через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назначает имя базы и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связывает базу с корневым провайдером;</w:t>
      </w:r>
    </w:p>
    <w:p>
      <w:pPr>
        <w:pStyle w:val="Compact"/>
        <w:numPr>
          <w:ilvl w:val="0"/>
          <w:numId w:val="1004"/>
        </w:numPr>
      </w:pPr>
      <w:r>
        <w:t xml:space="preserve">загружает настройки ARM и INI базы;</w:t>
      </w:r>
    </w:p>
    <w:p>
      <w:pPr>
        <w:pStyle w:val="Compact"/>
        <w:numPr>
          <w:ilvl w:val="0"/>
          <w:numId w:val="1004"/>
        </w:numPr>
      </w:pPr>
      <w:r>
        <w:t xml:space="preserve">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назначает индивидуальный провайдер из INI базы;</w:t>
      </w:r>
    </w:p>
    <w:p>
      <w:pPr>
        <w:pStyle w:val="Compact"/>
        <w:numPr>
          <w:ilvl w:val="0"/>
          <w:numId w:val="1004"/>
        </w:numPr>
      </w:pPr>
      <w:r>
        <w:t xml:space="preserve">сохраняет объект в</w:t>
      </w:r>
      <w:r>
        <w:t xml:space="preserve"> </w:t>
      </w:r>
      <w:r>
        <w:rPr>
          <w:rStyle w:val="VerbatimChar"/>
        </w:rPr>
        <w:t xml:space="preserve">$Databases[$dbName]</w:t>
      </w:r>
      <w:r>
        <w:t xml:space="preserve">.</w:t>
      </w:r>
    </w:p>
    <w:p>
      <w:pPr>
        <w:pStyle w:val="FirstParagraph"/>
      </w:pPr>
      <w:r>
        <w:t xml:space="preserve">Режим открытия определяется первым обращением к базе. Если первым было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последующие обращения к той же базе возвращают уже созданный объект в режиме чтения.</w:t>
      </w:r>
    </w:p>
    <w:bookmarkEnd w:id="20"/>
    <w:bookmarkStart w:id="22" w:name="внешний-доступ-к-состоянию"/>
    <w:p>
      <w:pPr>
        <w:pStyle w:val="Heading3"/>
      </w:pPr>
      <w:r>
        <w:t xml:space="preserve">3. Внешний доступ к состоянию</w:t>
      </w:r>
    </w:p>
    <w:p>
      <w:pPr>
        <w:pStyle w:val="FirstParagraph"/>
      </w:pPr>
      <w:r>
        <w:t xml:space="preserve">Прямое чтение или изменение служебных свойств модуля не является поддерживаемым контрактом. Для прикладного кода предназначены публичные методы: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совместимым синонимом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открывает или возвращает из кэша объект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выполняет полную инициализацию базы по мнемоническому имени.</w:t>
      </w:r>
    </w:p>
    <w:p>
      <w:pPr>
        <w:pStyle w:val="FirstParagraph"/>
      </w:pPr>
      <w:r>
        <w:t xml:space="preserve">Подробности выбора провайдера и параметров подключения описаны в разделе</w:t>
      </w:r>
      <w:r>
        <w:t xml:space="preserve"> </w:t>
      </w:r>
      <w:hyperlink r:id="rId21">
        <w:r>
          <w:rPr>
            <w:rStyle w:val="Hyperlink"/>
          </w:rPr>
          <w:t xml:space="preserve">Провайдеры и подключение</w:t>
        </w:r>
      </w:hyperlink>
      <w:r>
        <w:t xml:space="preserve">.</w:t>
      </w:r>
    </w:p>
    <w:bookmarkEnd w:id="22"/>
    <w:bookmarkEnd w:id="23"/>
    <w:bookmarkStart w:id="27" w:name="доступ-к-модулю-i128f-через-getinstance"/>
    <w:p>
      <w:pPr>
        <w:pStyle w:val="Heading2"/>
      </w:pPr>
      <w:r>
        <w:t xml:space="preserve">Доступ к модулю i128f через getInstance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возвращает общий объект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Метод нужен для кода, которому удобнее явно обращаться к классу модуля, а не вызывать глобальную функцию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24" w:name="получение-экземпляра"/>
    <w:p>
      <w:pPr>
        <w:pStyle w:val="Heading3"/>
      </w:pPr>
      <w:r>
        <w:t xml:space="preserve">1. Получение экземпляра</w:t>
      </w:r>
    </w:p>
    <w:p>
      <w:pPr>
        <w:pStyle w:val="SourceCode"/>
      </w:pPr>
      <w:r>
        <w:rPr>
          <w:rStyle w:val="VariableTok"/>
        </w:rPr>
        <w:t xml:space="preserve">$moduleI128f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экземпляр, который создает и кэширует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 При первом обращении система подключает</w:t>
      </w:r>
      <w:r>
        <w:t xml:space="preserve"> </w:t>
      </w:r>
      <w:r>
        <w:rPr>
          <w:rStyle w:val="VerbatimChar"/>
        </w:rPr>
        <w:t xml:space="preserve">modules/i128f/api.php</w:t>
      </w:r>
      <w:r>
        <w:t xml:space="preserve">, создает объект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выполняет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, а при следующих обращениях возвращает уже созданный объект из общего списка модулей.</w:t>
      </w:r>
    </w:p>
    <w:p>
      <w:pPr>
        <w:pStyle w:val="BodyText"/>
      </w:pPr>
      <w:r>
        <w:t xml:space="preserve">Эквивалентные способы получения модуля: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Обе переменные ссылаются на один объект модуля в рамках текущего запроса.</w:t>
      </w:r>
    </w:p>
    <w:bookmarkEnd w:id="24"/>
    <w:bookmarkStart w:id="25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удобно использовать в коде, где уже подключен класс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или где требуется понятный тип возвращаемого значения: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i128f::getInstance()-&gt;GetDb(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Обычный вызов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остается поддерживаемым способом доступа к модулю. Новый метод не меняет публичный контракт существующего кода и только добавляет статическую точку входа к тому же экземпляру.</w:t>
      </w:r>
    </w:p>
    <w:bookmarkEnd w:id="25"/>
    <w:bookmarkStart w:id="26" w:name="инициализация-и-совместимость"/>
    <w:p>
      <w:pPr>
        <w:pStyle w:val="Heading3"/>
      </w:pPr>
      <w:r>
        <w:t xml:space="preserve">3. Инициализация и совместимость</w:t>
      </w:r>
    </w:p>
    <w:p>
      <w:pPr>
        <w:pStyle w:val="FirstParagraph"/>
      </w:pPr>
      <w:r>
        <w:t xml:space="preserve">Не нужно создавать модуль напрямую через</w:t>
      </w:r>
      <w:r>
        <w:t xml:space="preserve"> </w:t>
      </w:r>
      <w:r>
        <w:rPr>
          <w:rStyle w:val="VerbatimChar"/>
        </w:rPr>
        <w:t xml:space="preserve">new i128f()</w:t>
      </w:r>
      <w:r>
        <w:t xml:space="preserve"> </w:t>
      </w:r>
      <w:r>
        <w:t xml:space="preserve">или вручную вызывать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. Инициализацией управляет механизм модулей, поэтому доступ через</w:t>
      </w:r>
      <w:r>
        <w:t xml:space="preserve"> </w:t>
      </w:r>
      <w:r>
        <w:rPr>
          <w:rStyle w:val="VerbatimChar"/>
        </w:rPr>
        <w:t xml:space="preserve">getInstance()</w:t>
      </w:r>
      <w:r>
        <w:t xml:space="preserve"> </w:t>
      </w:r>
      <w:r>
        <w:t xml:space="preserve">сохраняет тот же порядок запуска, что 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p>
      <w:pPr>
        <w:pStyle w:val="BodyText"/>
      </w:pPr>
      <w:r>
        <w:t xml:space="preserve">После инициализации доступны обычные публичные методы модуля, включая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Format()</w:t>
      </w:r>
      <w:r>
        <w:t xml:space="preserve"> </w:t>
      </w:r>
      <w:r>
        <w:t xml:space="preserve">и служебные операции, перенесенные из внешних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в класс модуля.</w:t>
      </w:r>
    </w:p>
    <w:bookmarkEnd w:id="26"/>
    <w:bookmarkEnd w:id="27"/>
    <w:bookmarkStart w:id="33" w:name="провайдеры-и-подключение"/>
    <w:p>
      <w:pPr>
        <w:pStyle w:val="Heading2"/>
      </w:pPr>
      <w:r>
        <w:t xml:space="preserve">Провайдеры и подключение</w:t>
      </w:r>
    </w:p>
    <w:p>
      <w:pPr>
        <w:pStyle w:val="FirstParagraph"/>
      </w:pPr>
      <w:r>
        <w:t xml:space="preserve">При инициализации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доступа к ИРБИС64 по настройке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bookmarkStart w:id="29" w:name="варианты-подключения"/>
    <w:p>
      <w:pPr>
        <w:pStyle w:val="Heading3"/>
      </w:pPr>
      <w:r>
        <w:t xml:space="preserve">1. Варианты подключения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DP_Irbis64Direct</w:t>
      </w:r>
      <w:r>
        <w:t xml:space="preserve"> </w:t>
      </w:r>
      <w:r>
        <w:t xml:space="preserve">- прямой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DP_Irbis64Native</w:t>
      </w:r>
      <w:r>
        <w:t xml:space="preserve"> </w:t>
      </w:r>
      <w:r>
        <w:t xml:space="preserve">- нативный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TCP/IP-провайдер по умолчанию.</w:t>
      </w:r>
    </w:p>
    <w:p>
      <w:pPr>
        <w:pStyle w:val="FirstParagraph"/>
      </w:pPr>
      <w:r>
        <w:t xml:space="preserve">Подробное описание нативного локального провайдера приведено в разделе</w:t>
      </w:r>
      <w:r>
        <w:t xml:space="preserve"> </w:t>
      </w:r>
      <w:hyperlink r:id="rId28">
        <w:r>
          <w:rPr>
            <w:rStyle w:val="Hyperlink"/>
          </w:rPr>
          <w:t xml:space="preserve">DP_Irbis64Native</w:t>
        </w:r>
      </w:hyperlink>
      <w:r>
        <w:t xml:space="preserve">.</w:t>
      </w:r>
    </w:p>
    <w:p>
      <w:pPr>
        <w:pStyle w:val="BodyText"/>
      </w:pPr>
      <w:r>
        <w:t xml:space="preserve">Для TCP/IP-подключения используются параметры: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i128Login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i128Password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i64MasterHost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i64MasterPort</w:t>
      </w:r>
      <w:r>
        <w:t xml:space="preserve">.</w:t>
      </w:r>
    </w:p>
    <w:p>
      <w:pPr>
        <w:pStyle w:val="FirstParagraph"/>
      </w:pPr>
      <w:r>
        <w:t xml:space="preserve">Если доступен файл</w:t>
      </w:r>
      <w:r>
        <w:t xml:space="preserve"> </w:t>
      </w:r>
      <w:r>
        <w:rPr>
          <w:rStyle w:val="VerbatimChar"/>
        </w:rPr>
        <w:t xml:space="preserve">IrbisExecPath/irbis_server.ini</w:t>
      </w:r>
      <w:r>
        <w:t xml:space="preserve">, модуль читает его через</w:t>
      </w:r>
      <w:r>
        <w:t xml:space="preserve"> </w:t>
      </w:r>
      <w:r>
        <w:rPr>
          <w:rStyle w:val="VerbatimChar"/>
        </w:rPr>
        <w:t xml:space="preserve">Ini</w:t>
      </w:r>
      <w:r>
        <w:t xml:space="preserve"> </w:t>
      </w:r>
      <w:r>
        <w:t xml:space="preserve">и предоставляет значения через</w:t>
      </w:r>
      <w:r>
        <w:t xml:space="preserve"> </w:t>
      </w:r>
      <w:r>
        <w:rPr>
          <w:rStyle w:val="VerbatimChar"/>
        </w:rPr>
        <w:t xml:space="preserve">GetServerIni()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getServerValue()</w:t>
      </w:r>
      <w:r>
        <w:t xml:space="preserve">.</w:t>
      </w:r>
    </w:p>
    <w:bookmarkEnd w:id="29"/>
    <w:bookmarkStart w:id="30" w:name="открытие-баз"/>
    <w:p>
      <w:pPr>
        <w:pStyle w:val="Heading3"/>
      </w:pPr>
      <w:r>
        <w:t xml:space="preserve">2. Открытие баз</w:t>
      </w:r>
    </w:p>
    <w:p>
      <w:pPr>
        <w:pStyle w:val="FirstParagraph"/>
      </w:pPr>
      <w:r>
        <w:rPr>
          <w:rStyle w:val="VerbatimChar"/>
        </w:rPr>
        <w:t xml:space="preserve">OpenDbByMnemonicName</w:t>
      </w:r>
      <w:r>
        <w:t xml:space="preserve"> </w:t>
      </w: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, применяет настройки ARM и INI базы, 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 </w:t>
      </w:r>
      <w:r>
        <w:t xml:space="preserve">и при необходимости назначает индивидуальный провайдер базы. Повторное открытие той же базы возвращает уже созданный объект.</w:t>
      </w:r>
    </w:p>
    <w:p>
      <w:pPr>
        <w:pStyle w:val="BodyText"/>
      </w:pPr>
      <w:r>
        <w:t xml:space="preserve">Для открытия базы в режиме чтения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.</w:t>
      </w:r>
    </w:p>
    <w:bookmarkEnd w:id="30"/>
    <w:bookmarkStart w:id="31" w:name="доступ-к-провайдеру-и-кэшу-открытых-баз"/>
    <w:p>
      <w:pPr>
        <w:pStyle w:val="Heading3"/>
      </w:pPr>
      <w:r>
        <w:t xml:space="preserve">3. Доступ к провайдеру и кэшу открытых баз</w:t>
      </w:r>
    </w:p>
    <w:p>
      <w:pPr>
        <w:pStyle w:val="FirstParagraph"/>
      </w:pPr>
      <w:r>
        <w:rPr>
          <w:rStyle w:val="VerbatimChar"/>
        </w:rPr>
        <w:t xml:space="preserve">$RootDP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являются внутренним состоянием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не предназначены для прямого чтения или изменения из других модулей. Для внешнего кода поддерживается доступ через публичные методы: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 модуля;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как совместимый синоним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возвращают объект базы по мнемоническому имени.</w:t>
      </w:r>
    </w:p>
    <w:p>
      <w:pPr>
        <w:pStyle w:val="FirstParagraph"/>
      </w:pPr>
      <w:r>
        <w:t xml:space="preserve">Такой доступ сохраняет контроль модуля над подключением, режимом открытия базы и кэшем уже созданных объектов. Внешний модуль не должен подменять корневой провайдер или массив открытых баз напрямую: это может нарушить повторное использование объекта базы,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и назначение индивидуального провайдера из INI базы.</w:t>
      </w:r>
    </w:p>
    <w:bookmarkEnd w:id="31"/>
    <w:bookmarkStart w:id="32" w:name="ошибки"/>
    <w:p>
      <w:pPr>
        <w:pStyle w:val="Heading3"/>
      </w:pPr>
      <w:r>
        <w:t xml:space="preserve">4. Ошибки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 </w:t>
      </w:r>
      <w:r>
        <w:t xml:space="preserve">преобразует типовые коды ошибок ИРБИС64 в русский текст. Для ошибки формально-логического контроля</w:t>
      </w:r>
      <w:r>
        <w:t xml:space="preserve"> </w:t>
      </w:r>
      <w:r>
        <w:rPr>
          <w:rStyle w:val="VerbatimChar"/>
        </w:rPr>
        <w:t xml:space="preserve">-128001</w:t>
      </w:r>
      <w:r>
        <w:t xml:space="preserve"> </w:t>
      </w:r>
      <w:r>
        <w:t xml:space="preserve">дополнительно выводится список сообщений ФЛК.</w:t>
      </w:r>
    </w:p>
    <w:bookmarkEnd w:id="32"/>
    <w:bookmarkEnd w:id="33"/>
    <w:bookmarkStart w:id="53" w:name="каталог-distr"/>
    <w:p>
      <w:pPr>
        <w:pStyle w:val="Heading2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34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9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9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9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9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9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9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9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9"/>
        </w:numPr>
      </w:pPr>
      <w:r>
        <w:t xml:space="preserve">заготовки и примеры баз данных.</w:t>
      </w:r>
    </w:p>
    <w:bookmarkEnd w:id="34"/>
    <w:bookmarkStart w:id="35" w:name="linux-appimage-и-проверка-орфографии"/>
    <w:p>
      <w:pPr>
        <w:pStyle w:val="Heading3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35"/>
    <w:bookmarkStart w:id="36" w:name="типовые-задания-автоввода-бд-rdr"/>
    <w:p>
      <w:pPr>
        <w:pStyle w:val="Heading3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36"/>
    <w:bookmarkStart w:id="37" w:name="комплект-datai-2025-d1d2"/>
    <w:p>
      <w:pPr>
        <w:pStyle w:val="Heading3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10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10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37"/>
    <w:bookmarkStart w:id="38" w:name="как-использовать"/>
    <w:p>
      <w:pPr>
        <w:pStyle w:val="Heading3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38"/>
    <w:bookmarkStart w:id="39" w:name="ограничения"/>
    <w:p>
      <w:pPr>
        <w:pStyle w:val="Heading3"/>
      </w:pPr>
      <w:r>
        <w:t xml:space="preserve">6. Ограничения</w:t>
      </w:r>
    </w:p>
    <w:p>
      <w:pPr>
        <w:pStyle w:val="Compact"/>
        <w:numPr>
          <w:ilvl w:val="0"/>
          <w:numId w:val="1011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11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11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11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39"/>
    <w:bookmarkStart w:id="44" w:name="rfid-uni-в-linux-армах-ирбис64"/>
    <w:p>
      <w:pPr>
        <w:pStyle w:val="Heading3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40" w:name="где-включать"/>
    <w:p>
      <w:pPr>
        <w:pStyle w:val="Heading4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40"/>
    <w:bookmarkStart w:id="41" w:name="основные-параметры"/>
    <w:p>
      <w:pPr>
        <w:pStyle w:val="Heading4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41"/>
    <w:bookmarkStart w:id="42" w:name="условия-на-рабочем-месте"/>
    <w:p>
      <w:pPr>
        <w:pStyle w:val="Heading4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42"/>
    <w:bookmarkStart w:id="43" w:name="проверка-настройки"/>
    <w:p>
      <w:pPr>
        <w:pStyle w:val="Heading4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12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12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12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12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43"/>
    <w:bookmarkEnd w:id="44"/>
    <w:bookmarkStart w:id="47" w:name="порционная-рассылка-e-mail"/>
    <w:p>
      <w:pPr>
        <w:pStyle w:val="Heading3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13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13"/>
        </w:numPr>
      </w:pPr>
      <w:r>
        <w:t xml:space="preserve">рассылки пользователям ИРИ.</w:t>
      </w:r>
    </w:p>
    <w:bookmarkStart w:id="45" w:name="параметры-профиля"/>
    <w:p>
      <w:pPr>
        <w:pStyle w:val="Heading4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14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45"/>
    <w:bookmarkStart w:id="46" w:name="как-выполняется-отправка"/>
    <w:p>
      <w:pPr>
        <w:pStyle w:val="Heading4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46"/>
    <w:bookmarkEnd w:id="47"/>
    <w:bookmarkStart w:id="52" w:name="полнотекстовые-настройки-поставки"/>
    <w:p>
      <w:pPr>
        <w:pStyle w:val="Heading3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48" w:name="web-ирбис-php"/>
    <w:p>
      <w:pPr>
        <w:pStyle w:val="Heading4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48"/>
    <w:bookmarkStart w:id="49" w:name="server64-turbo"/>
    <w:p>
      <w:pPr>
        <w:pStyle w:val="Heading4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49"/>
    <w:bookmarkStart w:id="50" w:name="ограничение-релевантности"/>
    <w:p>
      <w:pPr>
        <w:pStyle w:val="Heading4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50"/>
    <w:bookmarkStart w:id="51" w:name="проверка-дистрибутива"/>
    <w:p>
      <w:pPr>
        <w:pStyle w:val="Heading4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16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16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51"/>
    <w:bookmarkEnd w:id="52"/>
    <w:bookmarkEnd w:id="53"/>
    <w:bookmarkEnd w:id="5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Ядро доступа к ИРБИС64</dc:title>
  <dc:creator/>
  <cp:keywords/>
  <dcterms:created xsi:type="dcterms:W3CDTF">2026-10-09T05:25:03Z</dcterms:created>
  <dcterms:modified xsi:type="dcterms:W3CDTF">2026-10-09T05:25:03Z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