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 хранит экраны he3, используемые переходами и операциями Workflow.</w:t>
      </w:r>
    </w:p>
    <w:bookmarkStart w:id="15" w:name="назначение-workflowscreen"/>
    <w:p>
      <w:pPr>
        <w:pStyle w:val="Heading2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bookmarkStart w:id="16" w:name="Xbef7a5d87c4290e3f3435c65891e4d95197083e"/>
    <w:p>
      <w:pPr>
        <w:pStyle w:val="Heading2"/>
      </w:pPr>
      <w:r>
        <w:t xml:space="preserve">Повторная ссылка пропущена: Workflow/Modules/WorkflowScreen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2026-10-08T14:06:02Z</dcterms:created>
  <dcterms:modified xsi:type="dcterms:W3CDTF">2026-10-08T14:06:02Z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