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программиста 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руководство-программиста-workflow"/>
    <w:p>
      <w:pPr>
        <w:pStyle w:val="Heading1"/>
      </w:pPr>
      <w:r>
        <w:t xml:space="preserve">Руководство программиста Workflow</w:t>
      </w:r>
    </w:p>
    <w:bookmarkStart w:id="9" w:name="роль-прикладного-модуля"/>
    <w:p>
      <w:pPr>
        <w:pStyle w:val="Heading2"/>
      </w:pPr>
      <w:r>
        <w:t xml:space="preserve">1. Роль прикладного модуля</w:t>
      </w:r>
    </w:p>
    <w:p>
      <w:pPr>
        <w:pStyle w:val="FirstParagraph"/>
      </w:pPr>
      <w:r>
        <w:t xml:space="preserve">Прикладной модуль не должен дублировать engine Workflow. Его задача - предоставить доменную конфигурацию и точки расширения:</w:t>
      </w:r>
    </w:p>
    <w:p>
      <w:pPr>
        <w:pStyle w:val="Compact"/>
        <w:numPr>
          <w:ilvl w:val="0"/>
          <w:numId w:val="1001"/>
        </w:numPr>
      </w:pPr>
      <w:r>
        <w:t xml:space="preserve">системный JSON с проектом и workflow;</w:t>
      </w:r>
    </w:p>
    <w:p>
      <w:pPr>
        <w:pStyle w:val="Compact"/>
        <w:numPr>
          <w:ilvl w:val="0"/>
          <w:numId w:val="1001"/>
        </w:numPr>
      </w:pPr>
      <w:r>
        <w:t xml:space="preserve">форматы ИРБИС 128 для колонок, секций, дополнительных заголовочных блоков, доступа и conditions;</w:t>
      </w:r>
    </w:p>
    <w:p>
      <w:pPr>
        <w:pStyle w:val="Compact"/>
        <w:numPr>
          <w:ilvl w:val="0"/>
          <w:numId w:val="1001"/>
        </w:numPr>
      </w:pPr>
      <w:r>
        <w:t xml:space="preserve">рабочие листы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he3;</w:t>
      </w:r>
    </w:p>
    <w:p>
      <w:pPr>
        <w:pStyle w:val="Compact"/>
        <w:numPr>
          <w:ilvl w:val="0"/>
          <w:numId w:val="1001"/>
        </w:numPr>
      </w:pPr>
      <w:r>
        <w:t xml:space="preserve">workflow-команды в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при необходимости внешние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для</w:t>
      </w:r>
      <w:r>
        <w:t xml:space="preserve"> </w:t>
      </w:r>
      <w:r>
        <w:rPr>
          <w:rStyle w:val="VerbatimChar"/>
        </w:rPr>
        <w:t xml:space="preserve">viewType=page</w:t>
      </w:r>
      <w:r>
        <w:t xml:space="preserve">; списки, карточки, формы создания и доски открываются через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bookmarkEnd w:id="9"/>
    <w:bookmarkStart w:id="10" w:name="запуск-перехода"/>
    <w:p>
      <w:pPr>
        <w:pStyle w:val="Heading2"/>
      </w:pPr>
      <w:r>
        <w:t xml:space="preserve">2. Запуск перехода</w:t>
      </w:r>
    </w:p>
    <w:p>
      <w:pPr>
        <w:pStyle w:val="FirstParagraph"/>
      </w:pPr>
      <w:r>
        <w:t xml:space="preserve">Программный запуск перехода выполняется через</w:t>
      </w:r>
      <w:r>
        <w:t xml:space="preserve"> </w:t>
      </w:r>
      <w:r>
        <w:rPr>
          <w:rStyle w:val="VerbatimChar"/>
        </w:rPr>
        <w:t xml:space="preserve">Workflow::ApplyRecordTransition()</w:t>
      </w:r>
      <w:r>
        <w:t xml:space="preserve">.</w:t>
      </w:r>
    </w:p>
    <w:p>
      <w:pPr>
        <w:pStyle w:val="SourceCode"/>
      </w:pPr>
      <w:r>
        <w:rPr>
          <w:rStyle w:val="VariableTok"/>
        </w:rPr>
        <w:t xml:space="preserve">$workflow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$project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'WorkflowProject'</w:t>
      </w:r>
      <w:r>
        <w:rPr>
          <w:rStyle w:val="NormalTok"/>
        </w:rPr>
        <w:t xml:space="preserve">)-&gt;GetProjectByKey(</w:t>
      </w:r>
      <w:r>
        <w:rPr>
          <w:rStyle w:val="StringTok"/>
        </w:rPr>
        <w:t xml:space="preserve">'PROJECT'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'i128f'</w:t>
      </w:r>
      <w:r>
        <w:rPr>
          <w:rStyle w:val="NormalTok"/>
        </w:rPr>
        <w:t xml:space="preserve">)-&gt;GetDb(</w:t>
      </w:r>
      <w:r>
        <w:rPr>
          <w:rStyle w:val="StringTok"/>
        </w:rPr>
        <w:t xml:space="preserve">'I128F'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</w:t>
      </w:r>
      <w:r>
        <w:rPr>
          <w:rStyle w:val="NormalTok"/>
        </w:rPr>
        <w:t xml:space="preserve">-&gt;ApplyRecordTransition(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$db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$record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$project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'finish'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'comment'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'Ответ отправлен'</w:t>
      </w:r>
      <w:r>
        <w:rPr>
          <w:rStyle w:val="NormalTok"/>
        </w:rPr>
        <w:t xml:space="preserve">)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Если переход выбирается по целевому статусу, передайте целевой статус вместо пустой строки. Если переход выбирается по ключу, передайте ключ в параметре</w:t>
      </w:r>
      <w:r>
        <w:t xml:space="preserve"> </w:t>
      </w:r>
      <w:r>
        <w:rPr>
          <w:rStyle w:val="VerbatimChar"/>
        </w:rPr>
        <w:t xml:space="preserve">$transitionId</w:t>
      </w:r>
      <w:r>
        <w:t xml:space="preserve">.</w:t>
      </w:r>
    </w:p>
    <w:p>
      <w:pPr>
        <w:pStyle w:val="BodyText"/>
      </w:pPr>
      <w:r>
        <w:t xml:space="preserve">Перед показом кнопки, запуском API-действия или массовой операцией используйте диагностический preflight:</w:t>
      </w:r>
    </w:p>
    <w:p>
      <w:pPr>
        <w:pStyle w:val="SourceCode"/>
      </w:pPr>
      <w:r>
        <w:rPr>
          <w:rStyle w:val="VariableTok"/>
        </w:rPr>
        <w:t xml:space="preserve">$workflowModule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$transition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$workflowModule</w:t>
      </w:r>
      <w:r>
        <w:rPr>
          <w:rStyle w:val="NormalTok"/>
        </w:rPr>
        <w:t xml:space="preserve">-&gt;FindRecordTransition(</w:t>
      </w:r>
      <w:r>
        <w:rPr>
          <w:rStyle w:val="VariableTok"/>
        </w:rPr>
        <w:t xml:space="preserve">$record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'finish'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(</w:t>
      </w:r>
      <w:r>
        <w:rPr>
          <w:rStyle w:val="VariableTok"/>
        </w:rPr>
        <w:t xml:space="preserve">$transition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instanceof</w:t>
      </w:r>
      <w:r>
        <w:rPr>
          <w:rStyle w:val="NormalTok"/>
        </w:rPr>
        <w:t xml:space="preserve"> ObjectDataWorkflowTransition) {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$explain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$workflowModule</w:t>
      </w:r>
      <w:r>
        <w:rPr>
          <w:rStyle w:val="NormalTok"/>
        </w:rPr>
        <w:t xml:space="preserve">-&gt;ExplainRecordTransition(</w:t>
      </w:r>
      <w:r>
        <w:rPr>
          <w:rStyle w:val="VariableTok"/>
        </w:rPr>
        <w:t xml:space="preserve">$db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$record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$transition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 </w:t>
      </w:r>
      <w:r>
        <w:rPr>
          <w:rStyle w:val="ControlFlowTok"/>
        </w:rPr>
        <w:t xml:space="preserve">else</w:t>
      </w:r>
      <w:r>
        <w:rPr>
          <w:rStyle w:val="NormalTok"/>
        </w:rPr>
        <w:t xml:space="preserve"> {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$explain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'allowed'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'message'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'Переход workflow недоступен'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(</w:t>
      </w:r>
      <w:r>
        <w:rPr>
          <w:rStyle w:val="OperatorTok"/>
        </w:rPr>
        <w:t xml:space="preserve">!</w:t>
      </w:r>
      <w:r>
        <w:rPr>
          <w:rStyle w:val="VariableTok"/>
        </w:rPr>
        <w:t xml:space="preserve">$explain</w:t>
      </w:r>
      <w:r>
        <w:rPr>
          <w:rStyle w:val="NormalTok"/>
        </w:rPr>
        <w:t xml:space="preserve">[</w:t>
      </w:r>
      <w:r>
        <w:rPr>
          <w:rStyle w:val="StringTok"/>
        </w:rPr>
        <w:t xml:space="preserve">'allowed'</w:t>
      </w:r>
      <w:r>
        <w:rPr>
          <w:rStyle w:val="NormalTok"/>
        </w:rPr>
        <w:t xml:space="preserve">]) 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echo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$explain</w:t>
      </w:r>
      <w:r>
        <w:rPr>
          <w:rStyle w:val="NormalTok"/>
        </w:rPr>
        <w:t xml:space="preserve">[</w:t>
      </w:r>
      <w:r>
        <w:rPr>
          <w:rStyle w:val="StringTok"/>
        </w:rPr>
        <w:t xml:space="preserve">'message'</w:t>
      </w:r>
      <w:r>
        <w:rPr>
          <w:rStyle w:val="NormalTok"/>
        </w:rPr>
        <w:t xml:space="preserve">]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Для проверки без сохранения записи и без выполнения post-functions используйте</w:t>
      </w:r>
      <w:r>
        <w:t xml:space="preserve"> </w:t>
      </w:r>
      <w:r>
        <w:rPr>
          <w:rStyle w:val="VerbatimChar"/>
        </w:rPr>
        <w:t xml:space="preserve">Workflow::DryRunRecordTransition()</w:t>
      </w:r>
      <w:r>
        <w:t xml:space="preserve">. Dry-run возвращает тот же</w:t>
      </w:r>
      <w:r>
        <w:t xml:space="preserve"> </w:t>
      </w:r>
      <w:r>
        <w:rPr>
          <w:rStyle w:val="VerbatimChar"/>
        </w:rPr>
        <w:t xml:space="preserve">diagnosticCode</w:t>
      </w:r>
      <w:r>
        <w:t xml:space="preserve">, будущий workflow-state и признак</w:t>
      </w:r>
      <w:r>
        <w:t xml:space="preserve"> </w:t>
      </w:r>
      <w:r>
        <w:rPr>
          <w:rStyle w:val="VerbatimChar"/>
        </w:rPr>
        <w:t xml:space="preserve">wouldChangeRecord</w:t>
      </w:r>
      <w:r>
        <w:t xml:space="preserve">.</w:t>
      </w:r>
    </w:p>
    <w:bookmarkEnd w:id="10"/>
    <w:bookmarkStart w:id="11" w:name="workflow-команды"/>
    <w:p>
      <w:pPr>
        <w:pStyle w:val="Heading2"/>
      </w:pPr>
      <w:r>
        <w:t xml:space="preserve">3. Workflow-команды</w:t>
      </w:r>
    </w:p>
    <w:p>
      <w:pPr>
        <w:pStyle w:val="FirstParagraph"/>
      </w:pPr>
      <w:r>
        <w:t xml:space="preserve">Workflow-команда реализуется как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-функция прикладного модуля в папке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. Класс наследуется от</w:t>
      </w:r>
      <w:r>
        <w:t xml:space="preserve"> </w:t>
      </w:r>
      <w:r>
        <w:rPr>
          <w:rStyle w:val="VerbatimChar"/>
        </w:rPr>
        <w:t xml:space="preserve">ObjectModuleExternalFunctionWorkflow</w:t>
      </w:r>
      <w:r>
        <w:t xml:space="preserve"> </w:t>
      </w:r>
      <w:r>
        <w:t xml:space="preserve">и реализует</w:t>
      </w:r>
      <w:r>
        <w:t xml:space="preserve"> </w:t>
      </w:r>
      <w:r>
        <w:rPr>
          <w:rStyle w:val="VerbatimChar"/>
        </w:rPr>
        <w:t xml:space="preserve">Exec(WorkflowContext $ctx): WorkflowCommandResult</w:t>
      </w:r>
      <w:r>
        <w:t xml:space="preserve">.</w:t>
      </w:r>
    </w:p>
    <w:p>
      <w:pPr>
        <w:pStyle w:val="BodyText"/>
      </w:pPr>
      <w:r>
        <w:t xml:space="preserve">Workflow строит список доступных команд самостоятельно: перебирает</w:t>
      </w:r>
      <w:r>
        <w:t xml:space="preserve"> </w:t>
      </w:r>
      <w:r>
        <w:rPr>
          <w:rStyle w:val="VerbatimChar"/>
        </w:rPr>
        <w:t xml:space="preserve">.inc</w:t>
      </w:r>
      <w:r>
        <w:t xml:space="preserve">-файлы в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, вычисляет метод по имени файла и читает описание из класса команды. Ключ команды имеет вид</w:t>
      </w:r>
      <w:r>
        <w:t xml:space="preserve"> </w:t>
      </w:r>
      <w:r>
        <w:rPr>
          <w:rStyle w:val="VerbatimChar"/>
        </w:rPr>
        <w:t xml:space="preserve">Module.CommandName</w:t>
      </w:r>
      <w:r>
        <w:t xml:space="preserve">; для вложенных папок путь превращается в точки, например</w:t>
      </w:r>
      <w:r>
        <w:t xml:space="preserve"> </w:t>
      </w:r>
      <w:r>
        <w:rPr>
          <w:rStyle w:val="VerbatimChar"/>
        </w:rPr>
        <w:t xml:space="preserve">Module.Group.CommandName</w:t>
      </w:r>
      <w:r>
        <w:t xml:space="preserve">.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fncall_Module_Workflow_CommandName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ObjectModuleExternalFunctionWorkflow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protected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$PrimaryTypes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'MODULE_RECORD_TYPE'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protected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$Params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'user'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'Source'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'context'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'Key'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'userLogin'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GetTitle()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'Записать исполнителя'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}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GetDescription()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'Записывает в текущую запись логин пользователя, выполняющего переход workflow.'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}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(WorkflowContext </w:t>
      </w:r>
      <w:r>
        <w:rPr>
          <w:rStyle w:val="VariableTok"/>
        </w:rPr>
        <w:t xml:space="preserve">$ctx</w:t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WorkflowCommandResult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VariableTok"/>
        </w:rPr>
        <w:t xml:space="preserve">$record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$ctx</w:t>
      </w:r>
      <w:r>
        <w:rPr>
          <w:rStyle w:val="NormalTok"/>
        </w:rPr>
        <w:t xml:space="preserve">-&gt;GetRecord()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VariableTok"/>
        </w:rPr>
        <w:t xml:space="preserve">$user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$ctx</w:t>
      </w:r>
      <w:r>
        <w:rPr>
          <w:rStyle w:val="NormalTok"/>
        </w:rPr>
        <w:t xml:space="preserve">-&gt;GetParam(</w:t>
      </w:r>
      <w:r>
        <w:rPr>
          <w:rStyle w:val="StringTok"/>
        </w:rPr>
        <w:t xml:space="preserve">'user'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VariableTok"/>
        </w:rPr>
        <w:t xml:space="preserve">$record</w:t>
      </w:r>
      <w:r>
        <w:rPr>
          <w:rStyle w:val="NormalTok"/>
        </w:rPr>
        <w:t xml:space="preserve">-&gt;SetSubField(</w:t>
      </w:r>
      <w:r>
        <w:rPr>
          <w:rStyle w:val="DecValTok"/>
        </w:rPr>
        <w:t xml:space="preserve">100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</w:t>
      </w:r>
      <w:r>
        <w:rPr>
          <w:rStyle w:val="ConstantTok"/>
        </w:rPr>
        <w:t xml:space="preserve">Ok</w:t>
      </w:r>
      <w:r>
        <w:rPr>
          <w:rStyle w:val="NormalTok"/>
        </w:rPr>
        <w:t xml:space="preserve">()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rPr>
          <w:rStyle w:val="VerbatimChar"/>
        </w:rPr>
        <w:t xml:space="preserve">PrimaryTypes</w:t>
      </w:r>
      <w:r>
        <w:t xml:space="preserve"> </w:t>
      </w:r>
      <w:r>
        <w:t xml:space="preserve">ограничивает типы записей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для которых команда может применяться. Если массив пустой, команда считается общей.</w:t>
      </w:r>
      <w:r>
        <w:t xml:space="preserve"> </w:t>
      </w:r>
      <w:r>
        <w:rPr>
          <w:rStyle w:val="VerbatimChar"/>
        </w:rPr>
        <w:t xml:space="preserve">Params</w:t>
      </w:r>
      <w:r>
        <w:t xml:space="preserve"> </w:t>
      </w:r>
      <w:r>
        <w:t xml:space="preserve">задает схему параметров post-function; параметры нормализуются перед вызовом. Поддерживаются источники: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Source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input</w:t>
            </w:r>
          </w:p>
        </w:tc>
        <w:tc>
          <w:tcPr/>
          <w:p>
            <w:pPr>
              <w:pStyle w:val="Compact"/>
            </w:pPr>
            <w:r>
              <w:t xml:space="preserve">значение берется из данных перехода или формы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const</w:t>
            </w:r>
          </w:p>
        </w:tc>
        <w:tc>
          <w:tcPr/>
          <w:p>
            <w:pPr>
              <w:pStyle w:val="Compact"/>
            </w:pPr>
            <w:r>
              <w:t xml:space="preserve">значение берется из конфигурации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context</w:t>
            </w:r>
          </w:p>
        </w:tc>
        <w:tc>
          <w:tcPr/>
          <w:p>
            <w:pPr>
              <w:pStyle w:val="Compact"/>
            </w:pPr>
            <w:r>
              <w:t xml:space="preserve">значение берется из</w:t>
            </w:r>
            <w:r>
              <w:t xml:space="preserve"> </w:t>
            </w:r>
            <w:r>
              <w:rPr>
                <w:rStyle w:val="VerbatimChar"/>
              </w:rPr>
              <w:t xml:space="preserve">WorkflowContext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берется из поля текущей записи</w:t>
            </w:r>
          </w:p>
        </w:tc>
      </w:tr>
    </w:tbl>
    <w:bookmarkEnd w:id="11"/>
    <w:bookmarkStart w:id="12" w:name="workflowcontext"/>
    <w:p>
      <w:pPr>
        <w:pStyle w:val="Heading2"/>
      </w:pPr>
      <w:r>
        <w:t xml:space="preserve">4. WorkflowContext</w:t>
      </w:r>
    </w:p>
    <w:p>
      <w:pPr>
        <w:pStyle w:val="FirstParagraph"/>
      </w:pPr>
      <w:r>
        <w:rPr>
          <w:rStyle w:val="VerbatimChar"/>
        </w:rPr>
        <w:t xml:space="preserve">WorkflowContext</w:t>
      </w:r>
      <w:r>
        <w:t xml:space="preserve"> </w:t>
      </w:r>
      <w:r>
        <w:t xml:space="preserve">передается в каждую command post-function.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Что возвращает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GetDb()</w:t>
            </w:r>
          </w:p>
        </w:tc>
        <w:tc>
          <w:tcPr/>
          <w:p>
            <w:pPr>
              <w:pStyle w:val="Compact"/>
            </w:pPr>
            <w:r>
              <w:t xml:space="preserve">текущая БД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GetRecord()</w:t>
            </w:r>
          </w:p>
        </w:tc>
        <w:tc>
          <w:tcPr/>
          <w:p>
            <w:pPr>
              <w:pStyle w:val="Compact"/>
            </w:pPr>
            <w:r>
              <w:t xml:space="preserve">рабочая копия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GetOriginalRecord()</w:t>
            </w:r>
          </w:p>
        </w:tc>
        <w:tc>
          <w:tcPr/>
          <w:p>
            <w:pPr>
              <w:pStyle w:val="Compact"/>
            </w:pPr>
            <w:r>
              <w:t xml:space="preserve">исходная копия записи до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GetWorkflow()</w:t>
            </w:r>
          </w:p>
        </w:tc>
        <w:tc>
          <w:tcPr/>
          <w:p>
            <w:pPr>
              <w:pStyle w:val="Compact"/>
            </w:pPr>
            <w:r>
              <w:t xml:space="preserve">объект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GetProject()</w:t>
            </w:r>
          </w:p>
        </w:tc>
        <w:tc>
          <w:tcPr/>
          <w:p>
            <w:pPr>
              <w:pStyle w:val="Compact"/>
            </w:pPr>
            <w:r>
              <w:t xml:space="preserve">объект проекта, если переход выполняется в проекте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GetWorkflowOwner()</w:t>
            </w:r>
          </w:p>
        </w:tc>
        <w:tc>
          <w:tcPr/>
          <w:p>
            <w:pPr>
              <w:pStyle w:val="Compact"/>
            </w:pPr>
            <w:r>
              <w:t xml:space="preserve">владелец состояния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GetTransition()</w:t>
            </w:r>
          </w:p>
        </w:tc>
        <w:tc>
          <w:tcPr/>
          <w:p>
            <w:pPr>
              <w:pStyle w:val="Compact"/>
            </w:pPr>
            <w:r>
              <w:t xml:space="preserve">выполняемый переход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GetEffect()</w:t>
            </w:r>
          </w:p>
        </w:tc>
        <w:tc>
          <w:tcPr/>
          <w:p>
            <w:pPr>
              <w:pStyle w:val="Compact"/>
            </w:pPr>
            <w:r>
              <w:t xml:space="preserve">текущая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GetParams()</w:t>
            </w:r>
          </w:p>
        </w:tc>
        <w:tc>
          <w:tcPr/>
          <w:p>
            <w:pPr>
              <w:pStyle w:val="Compact"/>
            </w:pPr>
            <w:r>
              <w:t xml:space="preserve">нормализованные параметры команды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GetInput()</w:t>
            </w:r>
          </w:p>
        </w:tc>
        <w:tc>
          <w:tcPr/>
          <w:p>
            <w:pPr>
              <w:pStyle w:val="Compact"/>
            </w:pPr>
            <w:r>
              <w:t xml:space="preserve">входные данные формы или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GetUserSid()</w:t>
            </w:r>
          </w:p>
        </w:tc>
        <w:tc>
          <w:tcPr/>
          <w:p>
            <w:pPr>
              <w:pStyle w:val="Compact"/>
            </w:pPr>
            <w:r>
              <w:t xml:space="preserve">SID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GetUserLogin()</w:t>
            </w:r>
          </w:p>
        </w:tc>
        <w:tc>
          <w:tcPr/>
          <w:p>
            <w:pPr>
              <w:pStyle w:val="Compact"/>
            </w:pPr>
            <w:r>
              <w:t xml:space="preserve">логин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GetFromStatus()</w:t>
            </w:r>
          </w:p>
        </w:tc>
        <w:tc>
          <w:tcPr/>
          <w:p>
            <w:pPr>
              <w:pStyle w:val="Compact"/>
            </w:pPr>
            <w:r>
              <w:t xml:space="preserve">исходный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GetToStatus()</w:t>
            </w:r>
          </w:p>
        </w:tc>
        <w:tc>
          <w:tcPr/>
          <w:p>
            <w:pPr>
              <w:pStyle w:val="Compact"/>
            </w:pPr>
            <w:r>
              <w:t xml:space="preserve">новый статус</w:t>
            </w:r>
          </w:p>
        </w:tc>
      </w:tr>
    </w:tbl>
    <w:p>
      <w:pPr>
        <w:pStyle w:val="BodyText"/>
      </w:pPr>
      <w:r>
        <w:t xml:space="preserve">Команда должна возвращать</w:t>
      </w:r>
      <w:r>
        <w:t xml:space="preserve"> </w:t>
      </w:r>
      <w:r>
        <w:rPr>
          <w:rStyle w:val="VerbatimChar"/>
        </w:rPr>
        <w:t xml:space="preserve">WorkflowCommandResult::ok()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WorkflowCommandResult::error()</w:t>
      </w:r>
      <w:r>
        <w:t xml:space="preserve">. При ошибке Workflow откатывает изменения записи и не сохраняет переход.</w:t>
      </w:r>
    </w:p>
    <w:bookmarkEnd w:id="12"/>
    <w:bookmarkStart w:id="13" w:name="gbl-post-function"/>
    <w:p>
      <w:pPr>
        <w:pStyle w:val="Heading2"/>
      </w:pPr>
      <w:r>
        <w:t xml:space="preserve">5. GBL post-function</w:t>
      </w:r>
    </w:p>
    <w:p>
      <w:pPr>
        <w:pStyle w:val="FirstParagraph"/>
      </w:pPr>
      <w:r>
        <w:t xml:space="preserve">Для типа</w:t>
      </w:r>
      <w:r>
        <w:t xml:space="preserve"> </w:t>
      </w:r>
      <w:r>
        <w:rPr>
          <w:rStyle w:val="VerbatimChar"/>
        </w:rPr>
        <w:t xml:space="preserve">gbl</w:t>
      </w:r>
      <w:r>
        <w:t xml:space="preserve"> </w:t>
      </w:r>
      <w:r>
        <w:t xml:space="preserve">в переходе указывается MNU whitelist и ключ сценария. Описание пункта MNU должно указывать имя</w:t>
      </w:r>
      <w:r>
        <w:t xml:space="preserve"> </w:t>
      </w:r>
      <w:r>
        <w:rPr>
          <w:rStyle w:val="VerbatimChar"/>
        </w:rPr>
        <w:t xml:space="preserve">.gbl</w:t>
      </w:r>
      <w:r>
        <w:t xml:space="preserve">-файла. Workflow загружает сценарий из БД, подставляет JSON-параметры через</w:t>
      </w:r>
      <w:r>
        <w:t xml:space="preserve"> </w:t>
      </w:r>
      <w:r>
        <w:rPr>
          <w:rStyle w:val="VerbatimChar"/>
        </w:rPr>
        <w:t xml:space="preserve">GlobalCorrection::ApplyParams()</w:t>
      </w:r>
      <w:r>
        <w:t xml:space="preserve"> </w:t>
      </w:r>
      <w:r>
        <w:t xml:space="preserve">и выполняет его над рабочей копией записи.</w:t>
      </w:r>
    </w:p>
    <w:p>
      <w:pPr>
        <w:pStyle w:val="BodyText"/>
      </w:pPr>
      <w:r>
        <w:t xml:space="preserve">GBL удобен для простых массовых преобразований записи, но сложную доменную логику лучше оформлять command-функцией.</w:t>
      </w:r>
    </w:p>
    <w:bookmarkEnd w:id="13"/>
    <w:bookmarkStart w:id="14" w:name="форматы"/>
    <w:p>
      <w:pPr>
        <w:pStyle w:val="Heading2"/>
      </w:pPr>
      <w:r>
        <w:t xml:space="preserve">6. Форматы</w:t>
      </w:r>
    </w:p>
    <w:p>
      <w:pPr>
        <w:pStyle w:val="FirstParagraph"/>
      </w:pPr>
      <w:r>
        <w:t xml:space="preserve">Форматы используются в нескольких местах: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Место</w:t>
            </w:r>
          </w:p>
        </w:tc>
        <w:tc>
          <w:tcPr/>
          <w:p>
            <w:pPr>
              <w:pStyle w:val="Compact"/>
            </w:pPr>
            <w:r>
              <w:t xml:space="preserve">Что должен вернуть формат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condition перехода</w:t>
            </w:r>
          </w:p>
        </w:tc>
        <w:tc>
          <w:tcPr/>
          <w:p>
            <w:pPr>
              <w:pStyle w:val="Compact"/>
            </w:pPr>
            <w:r>
              <w:t xml:space="preserve">разрешающее или запрещающее 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проверка доступа представления</w:t>
            </w:r>
          </w:p>
        </w:tc>
        <w:tc>
          <w:tcPr/>
          <w:p>
            <w:pPr>
              <w:pStyle w:val="Compact"/>
            </w:pPr>
            <w:r>
              <w:t xml:space="preserve">разрешающее или запрещающее 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колонка списка</w:t>
            </w:r>
          </w:p>
        </w:tc>
        <w:tc>
          <w:tcPr/>
          <w:p>
            <w:pPr>
              <w:pStyle w:val="Compact"/>
            </w:pPr>
            <w:r>
              <w:t xml:space="preserve">HTML ячейки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секция карточки</w:t>
            </w:r>
          </w:p>
        </w:tc>
        <w:tc>
          <w:tcPr/>
          <w:p>
            <w:pPr>
              <w:pStyle w:val="Compact"/>
            </w:pPr>
            <w:r>
              <w:t xml:space="preserve">HTML блока карточки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заголовок страницы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HTML-блок перед списком или карточкой</w:t>
            </w:r>
          </w:p>
        </w:tc>
      </w:tr>
    </w:tbl>
    <w:p>
      <w:pPr>
        <w:pStyle w:val="BodyText"/>
      </w:pPr>
      <w:r>
        <w:t xml:space="preserve">Формат ИРБИС 128 должен лежать в контейнере, указанном в настройке представления или определяемом типом записи. Для условий перехода сначала используется</w:t>
      </w:r>
      <w:r>
        <w:t xml:space="preserve"> </w:t>
      </w:r>
      <w:r>
        <w:rPr>
          <w:rStyle w:val="VerbatimChar"/>
        </w:rPr>
        <w:t xml:space="preserve">Format128</w:t>
      </w:r>
      <w:r>
        <w:t xml:space="preserve"> </w:t>
      </w:r>
      <w:r>
        <w:t xml:space="preserve">с параметрами workflow.</w:t>
      </w:r>
    </w:p>
    <w:p>
      <w:pPr>
        <w:pStyle w:val="BodyText"/>
      </w:pPr>
      <w:r>
        <w:t xml:space="preserve">Верхнюю навигацию и панель фильтров не нужно писать отдельным форматом прикладного модуля. Состав меню задается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, параметры отображения пункта - в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, а элементы фильтрации берутся из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bookmarkEnd w:id="14"/>
    <w:bookmarkStart w:id="15" w:name="универсальные-страницы"/>
    <w:p>
      <w:pPr>
        <w:pStyle w:val="Heading2"/>
      </w:pPr>
      <w:r>
        <w:t xml:space="preserve">7. Универсальные страницы</w:t>
      </w:r>
    </w:p>
    <w:p>
      <w:pPr>
        <w:pStyle w:val="FirstParagraph"/>
      </w:pPr>
      <w:r>
        <w:t xml:space="preserve">Обычная пользовательская страница проекта вызывается единым маршрутом:</w:t>
      </w:r>
    </w:p>
    <w:p>
      <w:pPr>
        <w:pStyle w:val="SourceCode"/>
      </w:pPr>
      <w:r>
        <w:rPr>
          <w:rStyle w:val="VerbatimChar"/>
        </w:rPr>
        <w:t xml:space="preserve">?id=Workflow/Show&amp;project=PROJECT&amp;recordType=MY_RECORD_TYPE&amp;pageKey=list</w:t>
      </w:r>
    </w:p>
    <w:p>
      <w:pPr>
        <w:pStyle w:val="FirstParagraph"/>
      </w:pPr>
      <w:r>
        <w:t xml:space="preserve">Если требуется программно встроить конкретный renderer, прикладный код может вызвать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напрямую:</w:t>
      </w:r>
    </w:p>
    <w:p>
      <w:pPr>
        <w:pStyle w:val="SourceCode"/>
      </w:pPr>
      <w:r>
        <w:rPr>
          <w:rStyle w:val="KeywordTok"/>
        </w:rPr>
        <w:t xml:space="preserve">echo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'WorkflowView'</w:t>
      </w:r>
      <w:r>
        <w:rPr>
          <w:rStyle w:val="NormalTok"/>
        </w:rPr>
        <w:t xml:space="preserve">)-&gt;Page_RenderConfiguredPage(</w:t>
      </w:r>
      <w:r>
        <w:br/>
      </w:r>
      <w:r>
        <w:rPr>
          <w:rStyle w:val="NormalTok"/>
        </w:rPr>
        <w:t xml:space="preserve">    UseModule(</w:t>
      </w:r>
      <w:r>
        <w:rPr>
          <w:rStyle w:val="StringTok"/>
        </w:rPr>
        <w:t xml:space="preserve">'MyModule'</w:t>
      </w:r>
      <w:r>
        <w:rPr>
          <w:rStyle w:val="NormalTok"/>
        </w:rPr>
        <w:t xml:space="preserve">)-&gt;GetCurrentProjectKey()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'MY_RECORD_TYPE'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'list'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'I128F'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Для внешней страницы, например специального отчета, можно вывести только общую навигацию проекта:</w:t>
      </w:r>
    </w:p>
    <w:p>
      <w:pPr>
        <w:pStyle w:val="SourceCode"/>
      </w:pPr>
      <w:r>
        <w:rPr>
          <w:rStyle w:val="VariableTok"/>
        </w:rPr>
        <w:t xml:space="preserve">$workflowView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'WorkflowView'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$content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$workflowView</w:t>
      </w:r>
      <w:r>
        <w:rPr>
          <w:rStyle w:val="NormalTok"/>
        </w:rPr>
        <w:t xml:space="preserve">-&gt;RenderConfiguredNavigation(</w:t>
      </w:r>
      <w:r>
        <w:br/>
      </w:r>
      <w:r>
        <w:rPr>
          <w:rStyle w:val="NormalTok"/>
        </w:rPr>
        <w:t xml:space="preserve">    UseModule(</w:t>
      </w:r>
      <w:r>
        <w:rPr>
          <w:rStyle w:val="StringTok"/>
        </w:rPr>
        <w:t xml:space="preserve">'MyModule'</w:t>
      </w:r>
      <w:r>
        <w:rPr>
          <w:rStyle w:val="NormalTok"/>
        </w:rPr>
        <w:t xml:space="preserve">)-&gt;GetCurrentProjectKey()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'MY_RECORD_TYPE'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'Ask'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'I128F'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echo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$workflowView</w:t>
      </w:r>
      <w:r>
        <w:rPr>
          <w:rStyle w:val="NormalTok"/>
        </w:rPr>
        <w:t xml:space="preserve">-&gt;Page_RenderPageContent(</w:t>
      </w:r>
      <w:r>
        <w:rPr>
          <w:rStyle w:val="VariableTok"/>
        </w:rPr>
        <w:t xml:space="preserve">$content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.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$formHtml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Чтобы такая страница появилась в навигации, добавьте для нее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page</w:t>
      </w:r>
      <w:r>
        <w:t xml:space="preserve">, включите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и задайте у представления группу навигации.</w:t>
      </w:r>
    </w:p>
    <w:p>
      <w:pPr>
        <w:pStyle w:val="BodyText"/>
      </w:pPr>
      <w:r>
        <w:t xml:space="preserve">Поиск конкретной записи выполняется через настройки идентификатора в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: поле, подполе и поисковый префикс.</w:t>
      </w:r>
    </w:p>
    <w:bookmarkEnd w:id="15"/>
    <w:bookmarkStart w:id="16" w:name="системный-json-модуля"/>
    <w:p>
      <w:pPr>
        <w:pStyle w:val="Heading2"/>
      </w:pPr>
      <w:r>
        <w:t xml:space="preserve">8. Системный JSON модуля</w:t>
      </w:r>
    </w:p>
    <w:p>
      <w:pPr>
        <w:pStyle w:val="FirstParagraph"/>
      </w:pPr>
      <w:r>
        <w:t xml:space="preserve">Модуль может поставлять JSON с workflow-конфигурацией. Рекомендуемый состав:</w:t>
      </w:r>
    </w:p>
    <w:p>
      <w:pPr>
        <w:pStyle w:val="Compact"/>
        <w:numPr>
          <w:ilvl w:val="0"/>
          <w:numId w:val="1002"/>
        </w:numPr>
      </w:pPr>
      <w:r>
        <w:t xml:space="preserve">один или несколько проектов;</w:t>
      </w:r>
    </w:p>
    <w:p>
      <w:pPr>
        <w:pStyle w:val="Compact"/>
        <w:numPr>
          <w:ilvl w:val="0"/>
          <w:numId w:val="1002"/>
        </w:numPr>
      </w:pPr>
      <w:r>
        <w:t xml:space="preserve">workflow для каждого проекта;</w:t>
      </w:r>
    </w:p>
    <w:p>
      <w:pPr>
        <w:pStyle w:val="Compact"/>
        <w:numPr>
          <w:ilvl w:val="0"/>
          <w:numId w:val="1002"/>
        </w:numPr>
      </w:pPr>
      <w:r>
        <w:t xml:space="preserve">полный набор статусов и переходов;</w:t>
      </w:r>
    </w:p>
    <w:p>
      <w:pPr>
        <w:pStyle w:val="Compact"/>
        <w:numPr>
          <w:ilvl w:val="0"/>
          <w:numId w:val="1002"/>
        </w:numPr>
      </w:pPr>
      <w:r>
        <w:t xml:space="preserve">screens и screenSchemes, если есть формы;</w:t>
      </w:r>
    </w:p>
    <w:p>
      <w:pPr>
        <w:pStyle w:val="Compact"/>
        <w:numPr>
          <w:ilvl w:val="0"/>
          <w:numId w:val="1002"/>
        </w:numPr>
      </w:pPr>
      <w:r>
        <w:t xml:space="preserve">filters и filterSchemes для списков;</w:t>
      </w:r>
    </w:p>
    <w:p>
      <w:pPr>
        <w:pStyle w:val="Compact"/>
        <w:numPr>
          <w:ilvl w:val="0"/>
          <w:numId w:val="1002"/>
        </w:numPr>
      </w:pPr>
      <w:r>
        <w:t xml:space="preserve">views и viewSchemes для UI;</w:t>
      </w:r>
    </w:p>
    <w:p>
      <w:pPr>
        <w:pStyle w:val="Compact"/>
        <w:numPr>
          <w:ilvl w:val="0"/>
          <w:numId w:val="1002"/>
        </w:numPr>
      </w:pPr>
      <w:r>
        <w:t xml:space="preserve">rights на проект, переходы и другие управляемые записи.</w:t>
      </w:r>
    </w:p>
    <w:p>
      <w:pPr>
        <w:pStyle w:val="FirstParagraph"/>
      </w:pPr>
      <w:r>
        <w:t xml:space="preserve">Для подготовки JSON можно настроить проект через интерфейс и воспользоваться экспортом проекта в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bookmarkEnd w:id="16"/>
    <w:bookmarkStart w:id="17" w:name="диагностика-и-приемка"/>
    <w:p>
      <w:pPr>
        <w:pStyle w:val="Heading2"/>
      </w:pPr>
      <w:r>
        <w:t xml:space="preserve">9. Диагностика и приемка</w:t>
      </w:r>
    </w:p>
    <w:p>
      <w:pPr>
        <w:pStyle w:val="FirstParagraph"/>
      </w:pPr>
      <w:r>
        <w:rPr>
          <w:rStyle w:val="VerbatimChar"/>
        </w:rPr>
        <w:t xml:space="preserve">Workflow::GetWorkflowImpactAnalysis()</w:t>
      </w:r>
      <w:r>
        <w:t xml:space="preserve"> </w:t>
      </w:r>
      <w:r>
        <w:t xml:space="preserve">показывает, какие проекты, статусы, переходы, экраны, фильтры, представления и материализованные состояния записей связаны с workflow. Используйте его перед удалением или значимым изменением workflow.</w:t>
      </w:r>
    </w:p>
    <w:p>
      <w:pPr>
        <w:pStyle w:val="BodyText"/>
      </w:pPr>
      <w:r>
        <w:t xml:space="preserve">Модули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реализуют</w:t>
      </w:r>
      <w:r>
        <w:t xml:space="preserve"> </w:t>
      </w:r>
      <w:r>
        <w:rPr>
          <w:rStyle w:val="VerbatimChar"/>
        </w:rPr>
        <w:t xml:space="preserve">HealthCheck_Self()</w:t>
      </w:r>
      <w:r>
        <w:t xml:space="preserve">. Эти проверки не заменяют общесистемный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, но дают модулю-владельцу простой contract-test: доступность зависимых Workflow*-модулей, корректность модели записи, описаний, цветов статусов, маршрутов переходов и реестра command post-functions.</w:t>
      </w:r>
    </w:p>
    <w:bookmarkEnd w:id="17"/>
    <w:bookmarkStart w:id="18" w:name="совместимость"/>
    <w:p>
      <w:pPr>
        <w:pStyle w:val="Heading2"/>
      </w:pPr>
      <w:r>
        <w:t xml:space="preserve">10. Совместимость</w:t>
      </w:r>
    </w:p>
    <w:p>
      <w:pPr>
        <w:pStyle w:val="FirstParagraph"/>
      </w:pPr>
      <w:r>
        <w:t xml:space="preserve">Не привязывайте engine Workflow к конкретному модулю. Если нужна доменная логика, используйте:</w:t>
      </w:r>
    </w:p>
    <w:p>
      <w:pPr>
        <w:pStyle w:val="Compact"/>
        <w:numPr>
          <w:ilvl w:val="0"/>
          <w:numId w:val="1003"/>
        </w:numPr>
      </w:pPr>
      <w:r>
        <w:t xml:space="preserve">command post-function;</w:t>
      </w:r>
    </w:p>
    <w:p>
      <w:pPr>
        <w:pStyle w:val="Compact"/>
        <w:numPr>
          <w:ilvl w:val="0"/>
          <w:numId w:val="1003"/>
        </w:numPr>
      </w:pPr>
      <w:r>
        <w:t xml:space="preserve">condition-формат;</w:t>
      </w:r>
    </w:p>
    <w:p>
      <w:pPr>
        <w:pStyle w:val="Compact"/>
        <w:numPr>
          <w:ilvl w:val="0"/>
          <w:numId w:val="1003"/>
        </w:numPr>
      </w:pPr>
      <w:r>
        <w:t xml:space="preserve">формат колонки или секции;</w:t>
      </w:r>
    </w:p>
    <w:p>
      <w:pPr>
        <w:pStyle w:val="Compact"/>
        <w:numPr>
          <w:ilvl w:val="0"/>
          <w:numId w:val="1003"/>
        </w:numPr>
      </w:pPr>
      <w:r>
        <w:t xml:space="preserve">рабочий лист he3;</w:t>
      </w:r>
    </w:p>
    <w:p>
      <w:pPr>
        <w:pStyle w:val="Compact"/>
        <w:numPr>
          <w:ilvl w:val="0"/>
          <w:numId w:val="1003"/>
        </w:numPr>
      </w:pPr>
      <w:r>
        <w:t xml:space="preserve">настройки страниц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, параметров отображения в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фильтров в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настройки проекта и схем.</w:t>
      </w:r>
    </w:p>
    <w:p>
      <w:pPr>
        <w:pStyle w:val="FirstParagraph"/>
      </w:pPr>
      <w:r>
        <w:t xml:space="preserve">Такой подход позволяет применять Workflow к разным типам записей, например к</w:t>
      </w:r>
      <w:r>
        <w:t xml:space="preserve"> </w:t>
      </w:r>
      <w:r>
        <w:rPr>
          <w:rStyle w:val="VerbatimChar"/>
        </w:rPr>
        <w:t xml:space="preserve">RQST</w:t>
      </w:r>
      <w:r>
        <w:t xml:space="preserve"> </w:t>
      </w:r>
      <w:r>
        <w:t xml:space="preserve">или новым прикладным сущностям.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программиста Workflow</dc:title>
  <dc:creator/>
  <cp:keywords/>
  <dcterms:created xsi:type="dcterms:W3CDTF">2026-10-08T19:13:40Z</dcterms:created>
  <dcterms:modified xsi:type="dcterms:W3CDTF">2026-10-08T19:13:40Z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