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Провайдеры и подключение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вайдеры-и-подключение"/>
    <w:p>
      <w:pPr>
        <w:pStyle w:val="Heading1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10" w:name="варианты-подключения"/>
    <w:p>
      <w:pPr>
        <w:pStyle w:val="Heading2"/>
      </w:pPr>
      <w:r>
        <w:t xml:space="preserve">1. Варианты подключения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10"/>
    <w:bookmarkStart w:id="11" w:name="открытие-баз"/>
    <w:p>
      <w:pPr>
        <w:pStyle w:val="Heading2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11"/>
    <w:bookmarkStart w:id="12" w:name="доступ-к-провайдеру-и-кэшу-открытых-баз"/>
    <w:p>
      <w:pPr>
        <w:pStyle w:val="Heading2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12"/>
    <w:bookmarkStart w:id="13" w:name="ошибки"/>
    <w:p>
      <w:pPr>
        <w:pStyle w:val="Heading2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Irbis64Nativ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Irbis64Nativ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Провайдеры и подключение</dc:title>
  <dc:creator/>
  <cp:keywords/>
  <dcterms:created xsi:type="dcterms:W3CDTF">2026-10-07T22:58:54Z</dcterms:created>
  <dcterms:modified xsi:type="dcterms:W3CDTF">2026-10-07T22:58:54Z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