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Страницы модуля AI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страницы-модуля-ai"/>
    <w:p>
      <w:pPr>
        <w:pStyle w:val="Heading1"/>
      </w:pPr>
      <w:r>
        <w:t xml:space="preserve">Страницы модуля AI</w:t>
      </w:r>
    </w:p>
    <w:p>
      <w:pPr>
        <w:pStyle w:val="FirstParagraph"/>
      </w:pPr>
      <w:r>
        <w:t xml:space="preserve">Этот раздел описывает пользовательские и административные страницы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. Все страницы открываются как системные страницы ИРБИС 128 по адресу</w:t>
      </w:r>
      <w:r>
        <w:t xml:space="preserve"> </w:t>
      </w:r>
      <w:r>
        <w:rPr>
          <w:rStyle w:val="VerbatimChar"/>
        </w:rPr>
        <w:t xml:space="preserve">?id=AI/&lt;страница&gt;</w:t>
      </w:r>
      <w:r>
        <w:t xml:space="preserve"> </w:t>
      </w:r>
      <w:r>
        <w:t xml:space="preserve">и регистрируются процедурой</w:t>
      </w:r>
      <w:r>
        <w:t xml:space="preserve"> </w:t>
      </w:r>
      <w:r>
        <w:rPr>
          <w:rStyle w:val="VerbatimChar"/>
        </w:rPr>
        <w:t xml:space="preserve">AI/EnsurePages</w:t>
      </w:r>
      <w:r>
        <w:t xml:space="preserve">. В текущем безопасном срезе прямой доступ к страницам выдается группе</w:t>
      </w:r>
      <w:r>
        <w:t xml:space="preserve"> </w:t>
      </w:r>
      <w:r>
        <w:rPr>
          <w:rStyle w:val="VerbatimChar"/>
        </w:rPr>
        <w:t xml:space="preserve">SITESPEC/ADMIN</w:t>
      </w:r>
      <w:r>
        <w:t xml:space="preserve">; широкие права</w:t>
      </w:r>
      <w:r>
        <w:t xml:space="preserve"> </w:t>
      </w:r>
      <w:r>
        <w:rPr>
          <w:rStyle w:val="VerbatimChar"/>
        </w:rPr>
        <w:t xml:space="preserve">IP 0/1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SITESPEC/USER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при регистрации снимаются.</w:t>
      </w:r>
    </w:p>
    <w:bookmarkStart w:id="9" w:name="общие-правила-работы"/>
    <w:p>
      <w:pPr>
        <w:pStyle w:val="Heading2"/>
      </w:pPr>
      <w:r>
        <w:t xml:space="preserve">1. Общие правила работы</w:t>
      </w:r>
    </w:p>
    <w:p>
      <w:pPr>
        <w:pStyle w:val="FirstParagraph"/>
      </w:pPr>
      <w:r>
        <w:t xml:space="preserve">На рабочих страницах есть навигационная строка по основным разделам AI: запрос, диагностика и проверка. Вопрос по полнотекстовому документу задается не на отдельной странице AI, а непосредственно в просмотрщике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. Сценарий дополнения ИМИДЖ-записи библиографическими полями запускается кнопкой</w:t>
      </w:r>
      <w:r>
        <w:t xml:space="preserve"> </w:t>
      </w:r>
      <w:r>
        <w:t xml:space="preserve">“AI-черновик”</w:t>
      </w:r>
      <w:r>
        <w:t xml:space="preserve"> </w:t>
      </w:r>
      <w:r>
        <w:t xml:space="preserve">выбранной записи в АРМ Каталогизатор. Диагностическая страница инструмента</w:t>
      </w:r>
      <w:r>
        <w:t xml:space="preserve"> </w:t>
      </w:r>
      <w:r>
        <w:rPr>
          <w:rStyle w:val="VerbatimChar"/>
        </w:rPr>
        <w:t xml:space="preserve">AI/Tools</w:t>
      </w:r>
      <w:r>
        <w:t xml:space="preserve"> </w:t>
      </w:r>
      <w:r>
        <w:t xml:space="preserve">отделена от рабочей навигации и открывается из карточки записи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в АРМ Администратор. Эксплуатационная консоль агентных сессий</w:t>
      </w:r>
      <w:r>
        <w:t xml:space="preserve"> </w:t>
      </w:r>
      <w:r>
        <w:rPr>
          <w:rStyle w:val="VerbatimChar"/>
        </w:rPr>
        <w:t xml:space="preserve">AI/Agent</w:t>
      </w:r>
      <w:r>
        <w:t xml:space="preserve"> </w:t>
      </w:r>
      <w:r>
        <w:t xml:space="preserve">также открывается отдельно из настроек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. Диагностические страницы показывают результат операций в JSON-блоках. Эти блоки предназначены для диагностики: они помогают увидеть реальные флаги, выбранную модель, ошибки политики, audit-метаданные, id задач и служебные идентификаторы. На пользовательской странице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показ технических деталей управляется настройкой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и по умолчанию выключен.</w:t>
      </w:r>
    </w:p>
    <w:p>
      <w:pPr>
        <w:pStyle w:val="BodyText"/>
      </w:pPr>
      <w:r>
        <w:t xml:space="preserve">Секреты в профилях поставщиков, audit и диагностических отчетах должны отображаться только в замаскированном виде. Если пользователь видит в ответе</w:t>
      </w:r>
      <w:r>
        <w:t xml:space="preserve"> </w:t>
      </w:r>
      <w:r>
        <w:rPr>
          <w:rStyle w:val="VerbatimChar"/>
        </w:rPr>
        <w:t xml:space="preserve">***</w:t>
      </w:r>
      <w:r>
        <w:t xml:space="preserve">, это нормальное поведение: реальный ключ или пароль не должен выводиться в Help, UI, export, audit или отчете внешней передачи данных.</w:t>
      </w:r>
    </w:p>
    <w:p>
      <w:pPr>
        <w:pStyle w:val="BodyText"/>
      </w:pPr>
      <w:r>
        <w:t xml:space="preserve">Флаги</w:t>
      </w:r>
      <w:r>
        <w:t xml:space="preserve"> </w:t>
      </w:r>
      <w:r>
        <w:rPr>
          <w:rStyle w:val="VerbatimChar"/>
        </w:rPr>
        <w:t xml:space="preserve">diagnosticExecution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dryRun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allowNetwork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allowExternal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allowFallbackToExternal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allowDraftWrite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allowQueueTask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не являются обычными настройками</w:t>
      </w:r>
      <w:r>
        <w:t xml:space="preserve"> </w:t>
      </w:r>
      <w:r>
        <w:t xml:space="preserve">“для удобства”</w:t>
      </w:r>
      <w:r>
        <w:t xml:space="preserve">. Они явно переводят операцию в диагностический, сетевой, внешний, queue, draft или write-контур. Если флаг не понятен пользователю, его не следует включать без администратора.</w:t>
      </w:r>
    </w:p>
    <w:bookmarkEnd w:id="9"/>
    <w:bookmarkStart w:id="10" w:name="быстрый-справочник"/>
    <w:p>
      <w:pPr>
        <w:pStyle w:val="Heading2"/>
      </w:pPr>
      <w:r>
        <w:t xml:space="preserve">2. Быстрый справочник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Страница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Основные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AI/Ask</w:t>
            </w:r>
          </w:p>
        </w:tc>
        <w:tc>
          <w:tcPr/>
          <w:p>
            <w:pPr>
              <w:pStyle w:val="Compact"/>
            </w:pPr>
            <w:r>
              <w:t xml:space="preserve">Текстовый runtime-запрос</w:t>
            </w:r>
          </w:p>
        </w:tc>
        <w:tc>
          <w:tcPr/>
          <w:p>
            <w:pPr>
              <w:pStyle w:val="Compact"/>
            </w:pPr>
            <w:r>
              <w:t xml:space="preserve">Отправка prompt с настройками runtime из модуля</w:t>
            </w:r>
            <w:r>
              <w:t xml:space="preserve"> </w:t>
            </w:r>
            <w:r>
              <w:rPr>
                <w:rStyle w:val="VerbatimChar"/>
              </w:rPr>
              <w:t xml:space="preserve">AI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AI/Diagnostics</w:t>
            </w:r>
          </w:p>
        </w:tc>
        <w:tc>
          <w:tcPr/>
          <w:p>
            <w:pPr>
              <w:pStyle w:val="Compact"/>
            </w:pPr>
            <w:r>
              <w:t xml:space="preserve">Эксплуатационная диагностика</w:t>
            </w:r>
          </w:p>
        </w:tc>
        <w:tc>
          <w:tcPr/>
          <w:p>
            <w:pPr>
              <w:pStyle w:val="Compact"/>
            </w:pPr>
            <w:r>
              <w:t xml:space="preserve">Статус, конфигурация, allowlist, provider/model routing, audit, внешние передачи, invalidation производных данных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AI/Tools</w:t>
            </w:r>
          </w:p>
        </w:tc>
        <w:tc>
          <w:tcPr/>
          <w:p>
            <w:pPr>
              <w:pStyle w:val="Compact"/>
            </w:pPr>
            <w:r>
              <w:t xml:space="preserve">Диагностический вызов allowlist-инструмента</w:t>
            </w:r>
          </w:p>
        </w:tc>
        <w:tc>
          <w:tcPr/>
          <w:p>
            <w:pPr>
              <w:pStyle w:val="Compact"/>
            </w:pPr>
            <w:r>
              <w:t xml:space="preserve">Открывается из карточки</w:t>
            </w:r>
            <w:r>
              <w:t xml:space="preserve"> </w:t>
            </w:r>
            <w:r>
              <w:rPr>
                <w:rStyle w:val="VerbatimChar"/>
              </w:rPr>
              <w:t xml:space="preserve">AITool</w:t>
            </w:r>
            <w:r>
              <w:t xml:space="preserve">; описание выбранного инструмента, форма по</w:t>
            </w:r>
            <w:r>
              <w:t xml:space="preserve"> </w:t>
            </w:r>
            <w:r>
              <w:rPr>
                <w:rStyle w:val="VerbatimChar"/>
              </w:rPr>
              <w:t xml:space="preserve">inputSchema</w:t>
            </w:r>
            <w:r>
              <w:t xml:space="preserve">; результат</w:t>
            </w:r>
            <w:r>
              <w:t xml:space="preserve"> </w:t>
            </w:r>
            <w:r>
              <w:rPr>
                <w:rStyle w:val="VerbatimChar"/>
              </w:rPr>
              <w:t xml:space="preserve">AI::InvokeTool()</w:t>
            </w:r>
            <w:r>
              <w:t xml:space="preserve"> </w:t>
            </w:r>
            <w:r>
              <w:t xml:space="preserve">после отправки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AI/Reviews</w:t>
            </w:r>
          </w:p>
        </w:tc>
        <w:tc>
          <w:tcPr/>
          <w:p>
            <w:pPr>
              <w:pStyle w:val="Compact"/>
            </w:pPr>
            <w:r>
              <w:t xml:space="preserve">Ручная проверка AI-действий</w:t>
            </w:r>
          </w:p>
        </w:tc>
        <w:tc>
          <w:tcPr/>
          <w:p>
            <w:pPr>
              <w:pStyle w:val="Compact"/>
            </w:pPr>
            <w:r>
              <w:t xml:space="preserve">Approve/reject/correct, dry-run и применение черновика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AI/Agent</w:t>
            </w:r>
          </w:p>
        </w:tc>
        <w:tc>
          <w:tcPr/>
          <w:p>
            <w:pPr>
              <w:pStyle w:val="Compact"/>
            </w:pPr>
            <w:r>
              <w:t xml:space="preserve">Эксплуатационная консоль агентных сессий</w:t>
            </w:r>
          </w:p>
        </w:tc>
        <w:tc>
          <w:tcPr/>
          <w:p>
            <w:pPr>
              <w:pStyle w:val="Compact"/>
            </w:pPr>
            <w:r>
              <w:t xml:space="preserve">Открывается из настроек модуля</w:t>
            </w:r>
            <w:r>
              <w:t xml:space="preserve"> </w:t>
            </w:r>
            <w:r>
              <w:rPr>
                <w:rStyle w:val="VerbatimChar"/>
              </w:rPr>
              <w:t xml:space="preserve">AI</w:t>
            </w:r>
            <w:r>
              <w:t xml:space="preserve">; создание, просмотр, dry-run шага, pause/resume/archive</w:t>
            </w:r>
          </w:p>
        </w:tc>
      </w:tr>
    </w:tbl>
    <w:bookmarkEnd w:id="10"/>
    <w:bookmarkStart w:id="11" w:name="aiask"/>
    <w:p>
      <w:pPr>
        <w:pStyle w:val="Heading2"/>
      </w:pPr>
      <w:r>
        <w:t xml:space="preserve">3. AI/Ask</w:t>
      </w:r>
    </w:p>
    <w:p>
      <w:pPr>
        <w:pStyle w:val="FirstParagraph"/>
      </w:pPr>
      <w:r>
        <w:t xml:space="preserve">Адрес:</w:t>
      </w:r>
      <w:r>
        <w:t xml:space="preserve"> </w:t>
      </w:r>
      <w:r>
        <w:rPr>
          <w:rStyle w:val="VerbatimChar"/>
        </w:rPr>
        <w:t xml:space="preserve">?id=AI/Ask</w:t>
      </w:r>
      <w:r>
        <w:t xml:space="preserve">.</w:t>
      </w:r>
    </w:p>
    <w:p>
      <w:pPr>
        <w:pStyle w:val="BodyText"/>
      </w:pPr>
      <w:r>
        <w:t xml:space="preserve">Страница предназначена для прямого текстового запроса к AI runtime. Пользователь вводит только</w:t>
      </w:r>
      <w:r>
        <w:t xml:space="preserve"> </w:t>
      </w:r>
      <w:r>
        <w:rPr>
          <w:rStyle w:val="VerbatimChar"/>
        </w:rPr>
        <w:t xml:space="preserve">Prompt</w:t>
      </w:r>
      <w:r>
        <w:t xml:space="preserve">. Политика маршрутизации,</w:t>
      </w:r>
      <w:r>
        <w:t xml:space="preserve"> </w:t>
      </w:r>
      <w:r>
        <w:rPr>
          <w:rStyle w:val="VerbatimChar"/>
        </w:rPr>
        <w:t xml:space="preserve">System</w:t>
      </w:r>
      <w:r>
        <w:t xml:space="preserve">, диагностический режим,</w:t>
      </w:r>
      <w:r>
        <w:t xml:space="preserve"> </w:t>
      </w:r>
      <w:r>
        <w:rPr>
          <w:rStyle w:val="VerbatimChar"/>
        </w:rPr>
        <w:t xml:space="preserve">dry-run</w:t>
      </w:r>
      <w:r>
        <w:t xml:space="preserve">, разрешение внешних моделей, fallback во внешние модели, сетевой вызов и показ технических деталей берутся из группы настроек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“Страница AI/Ask”</w:t>
      </w:r>
      <w:r>
        <w:t xml:space="preserve"> </w:t>
      </w:r>
      <w:r>
        <w:t xml:space="preserve">в АРМ Администратор.</w:t>
      </w:r>
    </w:p>
    <w:p>
      <w:pPr>
        <w:pStyle w:val="BodyText"/>
      </w:pPr>
      <w:r>
        <w:t xml:space="preserve">Форма содержит:</w:t>
      </w:r>
    </w:p>
    <w:p>
      <w:pPr>
        <w:pStyle w:val="Compact"/>
        <w:numPr>
          <w:ilvl w:val="0"/>
          <w:numId w:val="1001"/>
        </w:numPr>
      </w:pPr>
      <w:r>
        <w:t xml:space="preserve">“Prompt”</w:t>
      </w:r>
      <w:r>
        <w:t xml:space="preserve"> </w:t>
      </w:r>
      <w:r>
        <w:t xml:space="preserve">- пользовательский текст запроса.</w:t>
      </w:r>
    </w:p>
    <w:p>
      <w:pPr>
        <w:pStyle w:val="FirstParagraph"/>
      </w:pPr>
      <w:r>
        <w:t xml:space="preserve">После отправки страница вызывает</w:t>
      </w:r>
      <w:r>
        <w:t xml:space="preserve"> </w:t>
      </w:r>
      <w:r>
        <w:rPr>
          <w:rStyle w:val="VerbatimChar"/>
        </w:rPr>
        <w:t xml:space="preserve">AI::Ask()</w:t>
      </w:r>
      <w:r>
        <w:t xml:space="preserve">. Ответ модели выводится как читаемый текст. Полный JSON показывается в блоке</w:t>
      </w:r>
      <w:r>
        <w:t xml:space="preserve"> </w:t>
      </w:r>
      <w:r>
        <w:t xml:space="preserve">“Технические детали”</w:t>
      </w:r>
      <w:r>
        <w:t xml:space="preserve"> </w:t>
      </w:r>
      <w:r>
        <w:t xml:space="preserve">только при включенной настройке</w:t>
      </w:r>
      <w:r>
        <w:t xml:space="preserve"> </w:t>
      </w:r>
      <w:r>
        <w:t xml:space="preserve">“Показывать технические детали”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AI</w:t>
      </w:r>
      <w:r>
        <w:t xml:space="preserve">; по умолчанию пользователь видит только ответ модели или понятное сообщение об ошибке. Перед обращением к provider выполняются проверка доступа к модулю AI, выключатели, классификация данных, политика внешней передачи, лимиты, маршрутизация модели и защита от prompt injection.</w:t>
      </w:r>
    </w:p>
    <w:p>
      <w:pPr>
        <w:pStyle w:val="BodyText"/>
      </w:pPr>
      <w:r>
        <w:t xml:space="preserve">Для закрытого контура задайте в настройках страницы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политику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 </w:t>
      </w:r>
      <w:r>
        <w:t xml:space="preserve">и не включайте внешние флаги. Для проверки локального OpenAI-compatible endpoint настройка</w:t>
      </w:r>
      <w:r>
        <w:t xml:space="preserve"> </w:t>
      </w:r>
      <w:r>
        <w:t xml:space="preserve">“Сетевой вызов по умолчанию”</w:t>
      </w:r>
      <w:r>
        <w:t xml:space="preserve"> </w:t>
      </w:r>
      <w:r>
        <w:t xml:space="preserve">должна быть включена.</w:t>
      </w:r>
    </w:p>
    <w:bookmarkEnd w:id="11"/>
    <w:bookmarkStart w:id="12" w:name="вопрос-по-документу-в-ftshowft"/>
    <w:p>
      <w:pPr>
        <w:pStyle w:val="Heading2"/>
      </w:pPr>
      <w:r>
        <w:t xml:space="preserve">4. Вопрос по документу в FT/ShowFT</w:t>
      </w:r>
    </w:p>
    <w:p>
      <w:pPr>
        <w:pStyle w:val="FirstParagraph"/>
      </w:pPr>
      <w:r>
        <w:t xml:space="preserve">Пользователь открывает полный текст обычным способом через</w:t>
      </w:r>
      <w:r>
        <w:t xml:space="preserve"> </w:t>
      </w:r>
      <w:r>
        <w:rPr>
          <w:rStyle w:val="VerbatimChar"/>
        </w:rPr>
        <w:t xml:space="preserve">?id=FT/ShowFT&amp;sid=&lt;sid&gt;</w:t>
      </w:r>
      <w:r>
        <w:t xml:space="preserve">. Если модуль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установлен, включен и доступен пользователю, в просмотрщике появляется кнопка</w:t>
      </w:r>
      <w:r>
        <w:t xml:space="preserve"> </w:t>
      </w:r>
      <w:r>
        <w:t xml:space="preserve">“Спросить AI”</w:t>
      </w:r>
      <w:r>
        <w:t xml:space="preserve">. Она открывает боковую панель с единственным пользовательским полем — вопросом по текущему документу. SID берется из открытой FT-записи автоматически; policy, provider/model, diagnostic, dry-run и network-флаги в пользовательском интерфейсе не показываются и читаются на сервере из настроек AI.</w:t>
      </w:r>
    </w:p>
    <w:p>
      <w:pPr>
        <w:pStyle w:val="BodyText"/>
      </w:pPr>
      <w:r>
        <w:t xml:space="preserve">Виджет вызывает action</w:t>
      </w:r>
      <w:r>
        <w:t xml:space="preserve"> </w:t>
      </w:r>
      <w:r>
        <w:rPr>
          <w:rStyle w:val="VerbatimChar"/>
        </w:rPr>
        <w:t xml:space="preserve">AI/AskDocument</w:t>
      </w:r>
      <w:r>
        <w:t xml:space="preserve"> </w:t>
      </w:r>
      <w:r>
        <w:t xml:space="preserve">в viewer-режиме, а тот передает запрос в</w:t>
      </w:r>
      <w:r>
        <w:t xml:space="preserve"> </w:t>
      </w:r>
      <w:r>
        <w:rPr>
          <w:rStyle w:val="VerbatimChar"/>
        </w:rPr>
        <w:t xml:space="preserve">AI::AskDocument()</w:t>
      </w:r>
      <w:r>
        <w:t xml:space="preserve">. Метод читает документ только через allowlist-инструмент</w:t>
      </w:r>
      <w:r>
        <w:t xml:space="preserve"> </w:t>
      </w:r>
      <w:r>
        <w:rPr>
          <w:rStyle w:val="VerbatimChar"/>
        </w:rPr>
        <w:t xml:space="preserve">ft.getText</w:t>
      </w:r>
      <w:r>
        <w:t xml:space="preserve">, поэтому сохраняются проверка прав на модуль AI, модуль FT и конкретную FT-запись, политика инструмента и audit. Текст FT-документа считается недоверенным: инструкции внутри документа не меняют системные правила и не могут заставить AI вызвать инструмент.</w:t>
      </w:r>
    </w:p>
    <w:p>
      <w:pPr>
        <w:pStyle w:val="BodyText"/>
      </w:pPr>
      <w:r>
        <w:t xml:space="preserve">Ответ показывает текст и источники. Для постраничного документа источник с координатами открывает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с параметрами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; без координат ссылка ведет на сам документ. Если</w:t>
      </w:r>
      <w:r>
        <w:t xml:space="preserve"> </w:t>
      </w:r>
      <w:r>
        <w:rPr>
          <w:rStyle w:val="VerbatimChar"/>
        </w:rPr>
        <w:t xml:space="preserve">FT/idx.txt</w:t>
      </w:r>
      <w:r>
        <w:t xml:space="preserve"> </w:t>
      </w:r>
      <w:r>
        <w:t xml:space="preserve">отсутствует, виджет сначала сообщает, что текст не подготовлен, и показывает отдельную кнопку</w:t>
      </w:r>
      <w:r>
        <w:t xml:space="preserve"> </w:t>
      </w:r>
      <w:r>
        <w:t xml:space="preserve">“Подготовить текст”</w:t>
      </w:r>
      <w:r>
        <w:t xml:space="preserve">. Только это подтвержденное действие повторяет запрос с</w:t>
      </w:r>
      <w:r>
        <w:t xml:space="preserve"> </w:t>
      </w:r>
      <w:r>
        <w:rPr>
          <w:rStyle w:val="VerbatimChar"/>
        </w:rPr>
        <w:t xml:space="preserve">allowQueueTask=true</w:t>
      </w:r>
      <w:r>
        <w:t xml:space="preserve"> </w:t>
      </w:r>
      <w:r>
        <w:t xml:space="preserve">и ставит</w:t>
      </w:r>
      <w:r>
        <w:t xml:space="preserve"> </w:t>
      </w:r>
      <w:r>
        <w:rPr>
          <w:rStyle w:val="VerbatimChar"/>
        </w:rPr>
        <w:t xml:space="preserve">ft.prepareDocument</w:t>
      </w:r>
      <w:r>
        <w:t xml:space="preserve"> </w:t>
      </w:r>
      <w:r>
        <w:t xml:space="preserve">в очередь.</w:t>
      </w:r>
    </w:p>
    <w:p>
      <w:pPr>
        <w:pStyle w:val="BodyText"/>
      </w:pPr>
      <w:r>
        <w:t xml:space="preserve">Через API</w:t>
      </w:r>
      <w:r>
        <w:t xml:space="preserve"> </w:t>
      </w:r>
      <w:r>
        <w:rPr>
          <w:rStyle w:val="VerbatimChar"/>
        </w:rPr>
        <w:t xml:space="preserve">AI::AskDocument()</w:t>
      </w:r>
      <w:r>
        <w:t xml:space="preserve"> </w:t>
      </w:r>
      <w:r>
        <w:t xml:space="preserve">по-прежнему доступны расширенные параметры, включая выбор контекста через подготовленный RAG-индекс по</w:t>
      </w:r>
      <w:r>
        <w:t xml:space="preserve"> </w:t>
      </w:r>
      <w:r>
        <w:rPr>
          <w:rStyle w:val="VerbatimChar"/>
        </w:rPr>
        <w:t xml:space="preserve">ragIndexId</w:t>
      </w:r>
      <w:r>
        <w:t xml:space="preserve">. Они предназначены для сценариев и диагностических вызовов, а не для пользовательского виджета FT.</w:t>
      </w:r>
    </w:p>
    <w:bookmarkEnd w:id="12"/>
    <w:bookmarkStart w:id="13" w:name="aidiagnostics"/>
    <w:p>
      <w:pPr>
        <w:pStyle w:val="Heading2"/>
      </w:pPr>
      <w:r>
        <w:t xml:space="preserve">5. AI/Diagnostics</w:t>
      </w:r>
    </w:p>
    <w:p>
      <w:pPr>
        <w:pStyle w:val="FirstParagraph"/>
      </w:pPr>
      <w:r>
        <w:t xml:space="preserve">Адрес:</w:t>
      </w:r>
      <w:r>
        <w:t xml:space="preserve"> </w:t>
      </w:r>
      <w:r>
        <w:rPr>
          <w:rStyle w:val="VerbatimChar"/>
        </w:rPr>
        <w:t xml:space="preserve">?id=AI/Diagnostics</w:t>
      </w:r>
      <w:r>
        <w:t xml:space="preserve">.</w:t>
      </w:r>
    </w:p>
    <w:p>
      <w:pPr>
        <w:pStyle w:val="BodyText"/>
      </w:pPr>
      <w:r>
        <w:t xml:space="preserve">Страница объединяет эксплуатационные проверки:</w:t>
      </w:r>
    </w:p>
    <w:p>
      <w:pPr>
        <w:pStyle w:val="Compact"/>
        <w:numPr>
          <w:ilvl w:val="0"/>
          <w:numId w:val="1002"/>
        </w:numPr>
      </w:pPr>
      <w:r>
        <w:t xml:space="preserve">статус модуля;</w:t>
      </w:r>
    </w:p>
    <w:p>
      <w:pPr>
        <w:pStyle w:val="Compact"/>
        <w:numPr>
          <w:ilvl w:val="0"/>
          <w:numId w:val="1002"/>
        </w:numPr>
      </w:pPr>
      <w:r>
        <w:t xml:space="preserve">проверку конфигурации;</w:t>
      </w:r>
    </w:p>
    <w:p>
      <w:pPr>
        <w:pStyle w:val="Compact"/>
        <w:numPr>
          <w:ilvl w:val="0"/>
          <w:numId w:val="1002"/>
        </w:numPr>
      </w:pPr>
      <w:r>
        <w:t xml:space="preserve">эффективные лимиты выполнения через</w:t>
      </w:r>
      <w:r>
        <w:t xml:space="preserve"> </w:t>
      </w:r>
      <w:r>
        <w:rPr>
          <w:rStyle w:val="VerbatimChar"/>
        </w:rPr>
        <w:t xml:space="preserve">AI::GetLimitPolicy()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текущие безопасные выключатели;</w:t>
      </w:r>
    </w:p>
    <w:p>
      <w:pPr>
        <w:pStyle w:val="Compact"/>
        <w:numPr>
          <w:ilvl w:val="0"/>
          <w:numId w:val="1002"/>
        </w:numPr>
      </w:pPr>
      <w:r>
        <w:t xml:space="preserve">свернутый allowlist инструментов через</w:t>
      </w:r>
      <w:r>
        <w:t xml:space="preserve"> </w:t>
      </w:r>
      <w:r>
        <w:rPr>
          <w:rStyle w:val="VerbatimChar"/>
        </w:rPr>
        <w:t xml:space="preserve">AI::GetToolDefinitions()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проверку provider без сетевого обращения через</w:t>
      </w:r>
      <w:r>
        <w:t xml:space="preserve"> </w:t>
      </w:r>
      <w:r>
        <w:rPr>
          <w:rStyle w:val="VerbatimChar"/>
        </w:rPr>
        <w:t xml:space="preserve">AI::TestProvider($providerId, false)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замаскированный список provider-профилей;</w:t>
      </w:r>
    </w:p>
    <w:p>
      <w:pPr>
        <w:pStyle w:val="Compact"/>
        <w:numPr>
          <w:ilvl w:val="0"/>
          <w:numId w:val="1002"/>
        </w:numPr>
      </w:pPr>
      <w:r>
        <w:t xml:space="preserve">проверку выбора модели и fallback через</w:t>
      </w:r>
      <w:r>
        <w:t xml:space="preserve"> </w:t>
      </w:r>
      <w:r>
        <w:rPr>
          <w:rStyle w:val="VerbatimChar"/>
        </w:rPr>
        <w:t xml:space="preserve">AI::ResolveModel()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форму инвалидирования производных данных;</w:t>
      </w:r>
    </w:p>
    <w:p>
      <w:pPr>
        <w:pStyle w:val="Compact"/>
        <w:numPr>
          <w:ilvl w:val="0"/>
          <w:numId w:val="1002"/>
        </w:numPr>
      </w:pPr>
      <w:r>
        <w:t xml:space="preserve">последние audit-события;</w:t>
      </w:r>
    </w:p>
    <w:p>
      <w:pPr>
        <w:pStyle w:val="Compact"/>
        <w:numPr>
          <w:ilvl w:val="0"/>
          <w:numId w:val="1002"/>
        </w:numPr>
      </w:pPr>
      <w:r>
        <w:t xml:space="preserve">отчет о внешней передаче данных.</w:t>
      </w:r>
    </w:p>
    <w:p>
      <w:pPr>
        <w:pStyle w:val="FirstParagraph"/>
      </w:pPr>
      <w:r>
        <w:t xml:space="preserve">Форма</w:t>
      </w:r>
      <w:r>
        <w:t xml:space="preserve"> </w:t>
      </w:r>
      <w:r>
        <w:t xml:space="preserve">“Инвалидирование производных данных”</w:t>
      </w:r>
      <w:r>
        <w:t xml:space="preserve"> </w:t>
      </w:r>
      <w:r>
        <w:t xml:space="preserve">принимает тип источника</w:t>
      </w:r>
      <w:r>
        <w:t xml:space="preserve"> </w:t>
      </w:r>
      <w:r>
        <w:rPr>
          <w:rStyle w:val="VerbatimChar"/>
        </w:rPr>
        <w:t xml:space="preserve">help</w:t>
      </w:r>
      <w:r>
        <w:t xml:space="preserve">,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Для</w:t>
      </w:r>
      <w:r>
        <w:t xml:space="preserve"> </w:t>
      </w:r>
      <w:r>
        <w:rPr>
          <w:rStyle w:val="VerbatimChar"/>
        </w:rPr>
        <w:t xml:space="preserve">help</w:t>
      </w:r>
      <w:r>
        <w:t xml:space="preserve"> </w:t>
      </w:r>
      <w:r>
        <w:t xml:space="preserve">используется path, для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- SID, для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- DBN и MFN. После отправки вызывается</w:t>
      </w:r>
      <w:r>
        <w:t xml:space="preserve"> </w:t>
      </w:r>
      <w:r>
        <w:rPr>
          <w:rStyle w:val="VerbatimChar"/>
        </w:rPr>
        <w:t xml:space="preserve">AI::InvalidateDerivedData($source)</w:t>
      </w:r>
      <w:r>
        <w:t xml:space="preserve">. Операция помечает связанные embedding chunks как stale, инвалидирует память и возвращает rebuild-policy. При изменении прав источника регламентный вызов должен использовать причину</w:t>
      </w:r>
      <w:r>
        <w:t xml:space="preserve"> </w:t>
      </w:r>
      <w:r>
        <w:rPr>
          <w:rStyle w:val="VerbatimChar"/>
        </w:rPr>
        <w:t xml:space="preserve">rightsChanged</w:t>
      </w:r>
      <w:r>
        <w:t xml:space="preserve">; UI-форма задает источник, а подробная причина может передаваться через API.</w:t>
      </w:r>
    </w:p>
    <w:p>
      <w:pPr>
        <w:pStyle w:val="BodyText"/>
      </w:pPr>
      <w:r>
        <w:t xml:space="preserve">Audit и отчет внешней передачи доступны только пользователям с административным доступом. Детали событий маскируются, чтобы не раскрывать API-ключи, токены, пароли и другие секреты.</w:t>
      </w:r>
    </w:p>
    <w:bookmarkEnd w:id="13"/>
    <w:bookmarkStart w:id="14" w:name="aitools"/>
    <w:p>
      <w:pPr>
        <w:pStyle w:val="Heading2"/>
      </w:pPr>
      <w:r>
        <w:t xml:space="preserve">6. AI/Tools</w:t>
      </w:r>
    </w:p>
    <w:p>
      <w:pPr>
        <w:pStyle w:val="FirstParagraph"/>
      </w:pPr>
      <w:r>
        <w:t xml:space="preserve">Адрес:</w:t>
      </w:r>
      <w:r>
        <w:t xml:space="preserve"> </w:t>
      </w:r>
      <w:r>
        <w:rPr>
          <w:rStyle w:val="VerbatimChar"/>
        </w:rPr>
        <w:t xml:space="preserve">?id=AI/Tools&amp;toolId=&lt;toolId&gt;</w:t>
      </w:r>
      <w:r>
        <w:t xml:space="preserve">.</w:t>
      </w:r>
    </w:p>
    <w:p>
      <w:pPr>
        <w:pStyle w:val="BodyText"/>
      </w:pPr>
      <w:r>
        <w:t xml:space="preserve">Страница служит для диагностического запуска одного allowlist-инструмента. Обычно она открывается из записи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в АРМ Администратор кнопкой</w:t>
      </w:r>
      <w:r>
        <w:t xml:space="preserve"> </w:t>
      </w:r>
      <w:r>
        <w:t xml:space="preserve">“Диагностический запуск”</w:t>
      </w:r>
      <w:r>
        <w:t xml:space="preserve">; кнопка передает идентификатор инструмента в параметре</w:t>
      </w:r>
      <w:r>
        <w:t xml:space="preserve"> </w:t>
      </w:r>
      <w:r>
        <w:rPr>
          <w:rStyle w:val="VerbatimChar"/>
        </w:rPr>
        <w:t xml:space="preserve">toolId</w:t>
      </w:r>
      <w:r>
        <w:t xml:space="preserve">. Прямой переход без параметра больше не показывает список выбора: страница просит открыть диагностику из карточки конкретного инструмента.</w:t>
      </w:r>
    </w:p>
    <w:p>
      <w:pPr>
        <w:pStyle w:val="BodyText"/>
      </w:pPr>
      <w:r>
        <w:t xml:space="preserve">Верхний блок показывает краткое описание для администратора: название, идентификатор и назначение инструмента. Режим работы, побочные эффекты, политика подтверждения, необходимые права, лимиты, входные параметры и ожидаемый результат выводятся в свернутом блоке</w:t>
      </w:r>
      <w:r>
        <w:t xml:space="preserve"> </w:t>
      </w:r>
      <w:r>
        <w:t xml:space="preserve">“Данные об инструменте”</w:t>
      </w:r>
      <w:r>
        <w:t xml:space="preserve">. Полный технический массив инструмента выводится ниже в свернутом блоке</w:t>
      </w:r>
      <w:r>
        <w:t xml:space="preserve"> </w:t>
      </w:r>
      <w:r>
        <w:t xml:space="preserve">“Техническое описание”</w:t>
      </w:r>
      <w:r>
        <w:t xml:space="preserve">.</w:t>
      </w:r>
    </w:p>
    <w:p>
      <w:pPr>
        <w:pStyle w:val="BodyText"/>
      </w:pPr>
      <w:r>
        <w:t xml:space="preserve">Форма строится по</w:t>
      </w:r>
      <w:r>
        <w:t xml:space="preserve"> </w:t>
      </w:r>
      <w:r>
        <w:rPr>
          <w:rStyle w:val="VerbatimChar"/>
        </w:rPr>
        <w:t xml:space="preserve">inputSchema</w:t>
      </w:r>
      <w:r>
        <w:t xml:space="preserve"> </w:t>
      </w:r>
      <w:r>
        <w:t xml:space="preserve">выбранного инструмента:</w:t>
      </w:r>
    </w:p>
    <w:p>
      <w:pPr>
        <w:pStyle w:val="Compact"/>
        <w:numPr>
          <w:ilvl w:val="0"/>
          <w:numId w:val="1003"/>
        </w:numPr>
      </w:pPr>
      <w:r>
        <w:t xml:space="preserve">строки, целые числа и числа отображаются отдельными полями ввода;</w:t>
      </w:r>
    </w:p>
    <w:p>
      <w:pPr>
        <w:pStyle w:val="Compact"/>
        <w:numPr>
          <w:ilvl w:val="0"/>
          <w:numId w:val="1003"/>
        </w:numPr>
      </w:pPr>
      <w:r>
        <w:t xml:space="preserve">логические параметры отображаются флажками;</w:t>
      </w:r>
    </w:p>
    <w:p>
      <w:pPr>
        <w:pStyle w:val="Compact"/>
        <w:numPr>
          <w:ilvl w:val="0"/>
          <w:numId w:val="1003"/>
        </w:numPr>
      </w:pPr>
      <w:r>
        <w:t xml:space="preserve">параметры типа</w:t>
      </w:r>
      <w:r>
        <w:t xml:space="preserve"> </w:t>
      </w:r>
      <w:r>
        <w:rPr>
          <w:rStyle w:val="VerbatimChar"/>
        </w:rPr>
        <w:t xml:space="preserve">array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object</w:t>
      </w:r>
      <w:r>
        <w:t xml:space="preserve"> </w:t>
      </w:r>
      <w:r>
        <w:t xml:space="preserve">вводятся как небольшие JSON-фрагменты только для конкретного поля;</w:t>
      </w:r>
    </w:p>
    <w:p>
      <w:pPr>
        <w:pStyle w:val="Compact"/>
        <w:numPr>
          <w:ilvl w:val="0"/>
          <w:numId w:val="1003"/>
        </w:numPr>
      </w:pPr>
      <w:r>
        <w:t xml:space="preserve">обязательность берется из</w:t>
      </w:r>
      <w:r>
        <w:t xml:space="preserve"> </w:t>
      </w:r>
      <w:r>
        <w:rPr>
          <w:rStyle w:val="VerbatimChar"/>
        </w:rPr>
        <w:t xml:space="preserve">requiredInput</w:t>
      </w:r>
      <w:r>
        <w:t xml:space="preserve">.</w:t>
      </w:r>
    </w:p>
    <w:p>
      <w:pPr>
        <w:pStyle w:val="FirstParagraph"/>
      </w:pPr>
      <w:r>
        <w:t xml:space="preserve">После отправки страница собирает входной массив, приводит значения к типам схемы и вызывает</w:t>
      </w:r>
      <w:r>
        <w:t xml:space="preserve"> </w:t>
      </w:r>
      <w:r>
        <w:rPr>
          <w:rStyle w:val="VerbatimChar"/>
        </w:rPr>
        <w:t xml:space="preserve">AI::InvokeTool($toolId, $input, $options)</w:t>
      </w:r>
      <w:r>
        <w:t xml:space="preserve">. Результат работы инструмента выводится JSON-блоком в раскрытом по умолчанию спойлере</w:t>
      </w:r>
      <w:r>
        <w:t xml:space="preserve"> </w:t>
      </w:r>
      <w:r>
        <w:t xml:space="preserve">“Результат выполнения”</w:t>
      </w:r>
      <w:r>
        <w:t xml:space="preserve">. Если значение поля</w:t>
      </w:r>
      <w:r>
        <w:t xml:space="preserve"> </w:t>
      </w:r>
      <w:r>
        <w:rPr>
          <w:rStyle w:val="VerbatimChar"/>
        </w:rPr>
        <w:t xml:space="preserve">array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object</w:t>
      </w:r>
      <w:r>
        <w:t xml:space="preserve"> </w:t>
      </w:r>
      <w:r>
        <w:t xml:space="preserve">заполнено некорректным JSON, страница возвращает ошибку</w:t>
      </w:r>
      <w:r>
        <w:t xml:space="preserve"> </w:t>
      </w:r>
      <w:r>
        <w:rPr>
          <w:rStyle w:val="VerbatimChar"/>
        </w:rPr>
        <w:t xml:space="preserve">AI_UI_INPUT_INVALID</w:t>
      </w:r>
      <w:r>
        <w:t xml:space="preserve"> </w:t>
      </w:r>
      <w:r>
        <w:t xml:space="preserve">с перечнем полей.</w:t>
      </w:r>
    </w:p>
    <w:p>
      <w:pPr>
        <w:pStyle w:val="BodyText"/>
      </w:pPr>
      <w:r>
        <w:t xml:space="preserve">Флаг</w:t>
      </w:r>
      <w:r>
        <w:t xml:space="preserve"> </w:t>
      </w:r>
      <w:r>
        <w:rPr>
          <w:rStyle w:val="VerbatimChar"/>
        </w:rPr>
        <w:t xml:space="preserve">diagnosticExecution</w:t>
      </w:r>
      <w:r>
        <w:t xml:space="preserve"> </w:t>
      </w:r>
      <w:r>
        <w:t xml:space="preserve">включает фактическое диагностическое выполнение; без него отправляется</w:t>
      </w:r>
      <w:r>
        <w:t xml:space="preserve"> </w:t>
      </w:r>
      <w:r>
        <w:rPr>
          <w:rStyle w:val="VerbatimChar"/>
        </w:rPr>
        <w:t xml:space="preserve">dryRun=true</w:t>
      </w:r>
      <w:r>
        <w:t xml:space="preserve">. Для инструментов чтения этот флаг включен по умолчанию, для инструментов с побочными эффектами администратор должен включить его явно. Флаги</w:t>
      </w:r>
      <w:r>
        <w:t xml:space="preserve"> </w:t>
      </w:r>
      <w:r>
        <w:rPr>
          <w:rStyle w:val="VerbatimChar"/>
        </w:rPr>
        <w:t xml:space="preserve">allowDraftWrite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allowQueueTask</w:t>
      </w:r>
      <w:r>
        <w:t xml:space="preserve"> </w:t>
      </w:r>
      <w:r>
        <w:t xml:space="preserve">по-прежнему нужны для операций, которые создают AI-черновик или ставят задачу в Queue.</w:t>
      </w:r>
    </w:p>
    <w:p>
      <w:pPr>
        <w:pStyle w:val="BodyText"/>
      </w:pPr>
      <w:r>
        <w:t xml:space="preserve">Нельзя использовать страницу как обход прав. Каждый инструмент проходит общий pipeline: schema gate, проверка прав, политика, audit, исполнение и нормализация</w:t>
      </w:r>
      <w:r>
        <w:t xml:space="preserve"> </w:t>
      </w:r>
      <w:r>
        <w:rPr>
          <w:rStyle w:val="VerbatimChar"/>
        </w:rPr>
        <w:t xml:space="preserve">resultMeta</w:t>
      </w:r>
      <w:r>
        <w:t xml:space="preserve">. Write-инструменты не должны напрямую изменять целевую БД.</w:t>
      </w:r>
    </w:p>
    <w:bookmarkEnd w:id="14"/>
    <w:bookmarkStart w:id="15" w:name="aireviews"/>
    <w:p>
      <w:pPr>
        <w:pStyle w:val="Heading2"/>
      </w:pPr>
      <w:r>
        <w:t xml:space="preserve">7. AI/Reviews</w:t>
      </w:r>
    </w:p>
    <w:p>
      <w:pPr>
        <w:pStyle w:val="FirstParagraph"/>
      </w:pPr>
      <w:r>
        <w:t xml:space="preserve">Адрес:</w:t>
      </w:r>
      <w:r>
        <w:t xml:space="preserve"> </w:t>
      </w:r>
      <w:r>
        <w:rPr>
          <w:rStyle w:val="VerbatimChar"/>
        </w:rPr>
        <w:t xml:space="preserve">?id=AI/Reviews</w:t>
      </w:r>
      <w:r>
        <w:t xml:space="preserve">.</w:t>
      </w:r>
    </w:p>
    <w:p>
      <w:pPr>
        <w:pStyle w:val="BodyText"/>
      </w:pPr>
      <w:r>
        <w:t xml:space="preserve">Страница предназначена для ручной проверки AI-действий. Для нее используется полноэкранный рабочий интерфейс: слева находится очередь review-задач, справа - выбранная задача с данными черновика, комментарием и кнопками решения. Если</w:t>
      </w:r>
      <w:r>
        <w:t xml:space="preserve"> </w:t>
      </w:r>
      <w:r>
        <w:rPr>
          <w:rStyle w:val="VerbatimChar"/>
        </w:rPr>
        <w:t xml:space="preserve">reviewId</w:t>
      </w:r>
      <w:r>
        <w:t xml:space="preserve"> </w:t>
      </w:r>
      <w:r>
        <w:t xml:space="preserve">не передан, страница автоматически открывает первую задачу из списка.</w:t>
      </w:r>
    </w:p>
    <w:p>
      <w:pPr>
        <w:pStyle w:val="BodyText"/>
      </w:pPr>
      <w:r>
        <w:t xml:space="preserve">Левая очередь фильтруется по состоянию проверки. По умолчанию выбран фильтр</w:t>
      </w:r>
      <w:r>
        <w:t xml:space="preserve"> </w:t>
      </w:r>
      <w:r>
        <w:t xml:space="preserve">“Без решения”</w:t>
      </w:r>
      <w:r>
        <w:t xml:space="preserve"> </w:t>
      </w:r>
      <w:r>
        <w:t xml:space="preserve">(</w:t>
      </w:r>
      <w:r>
        <w:rPr>
          <w:rStyle w:val="VerbatimChar"/>
        </w:rPr>
        <w:t xml:space="preserve">pending</w:t>
      </w:r>
      <w:r>
        <w:t xml:space="preserve">), поэтому пользователь видит только review-задачи, по которым еще не принято решение. Также доступны фильтры для утвержденных, отклоненных, отправленных на исправление и всех задач.</w:t>
      </w:r>
    </w:p>
    <w:p>
      <w:pPr>
        <w:pStyle w:val="BodyText"/>
      </w:pPr>
      <w:r>
        <w:t xml:space="preserve">Правая область показывает цель, риск, target, idempotency key, связанный AI-черновик, источники, diff и текущее решение. Форма решения или применения черновика выводится в верхней части карточки, чтобы проверяющий не прокручивал технические блоки перед принятием решения.</w:t>
      </w:r>
    </w:p>
    <w:p>
      <w:pPr>
        <w:pStyle w:val="BodyText"/>
      </w:pPr>
      <w:r>
        <w:t xml:space="preserve">Полный JSON review-задачи и черновика остается доступен в технических спойлерах. Основной экран не требует читать JSON для штатной проверки.</w:t>
      </w:r>
    </w:p>
    <w:p>
      <w:pPr>
        <w:pStyle w:val="BodyText"/>
      </w:pPr>
      <w:r>
        <w:t xml:space="preserve">Для задачи в статусе</w:t>
      </w:r>
      <w:r>
        <w:t xml:space="preserve"> </w:t>
      </w:r>
      <w:r>
        <w:rPr>
          <w:rStyle w:val="VerbatimChar"/>
        </w:rPr>
        <w:t xml:space="preserve">pending</w:t>
      </w:r>
      <w:r>
        <w:t xml:space="preserve"> </w:t>
      </w:r>
      <w:r>
        <w:t xml:space="preserve">доступна форма решения: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approve</w:t>
      </w:r>
      <w:r>
        <w:t xml:space="preserve"> </w:t>
      </w:r>
      <w:r>
        <w:t xml:space="preserve">- утвердить действие;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reject</w:t>
      </w:r>
      <w:r>
        <w:t xml:space="preserve"> </w:t>
      </w:r>
      <w:r>
        <w:t xml:space="preserve">- отклонить действие;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correct</w:t>
      </w:r>
      <w:r>
        <w:t xml:space="preserve"> </w:t>
      </w:r>
      <w:r>
        <w:t xml:space="preserve">- отметить необходимость коррекции;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comment</w:t>
      </w:r>
      <w:r>
        <w:t xml:space="preserve"> </w:t>
      </w:r>
      <w:r>
        <w:t xml:space="preserve">- комментарий пользователя.</w:t>
      </w:r>
    </w:p>
    <w:p>
      <w:pPr>
        <w:pStyle w:val="FirstParagraph"/>
      </w:pPr>
      <w:r>
        <w:t xml:space="preserve">Форма применения черновика появляется только для approved review с</w:t>
      </w:r>
      <w:r>
        <w:t xml:space="preserve"> </w:t>
      </w:r>
      <w:r>
        <w:rPr>
          <w:rStyle w:val="VerbatimChar"/>
        </w:rPr>
        <w:t xml:space="preserve">targetType=draft</w:t>
      </w:r>
      <w:r>
        <w:t xml:space="preserve">. По умолчанию включен режим</w:t>
      </w:r>
      <w:r>
        <w:t xml:space="preserve"> </w:t>
      </w:r>
      <w:r>
        <w:t xml:space="preserve">“Проверить без записи в БД”</w:t>
      </w:r>
      <w:r>
        <w:t xml:space="preserve">: он передает</w:t>
      </w:r>
      <w:r>
        <w:t xml:space="preserve"> </w:t>
      </w:r>
      <w:r>
        <w:rPr>
          <w:rStyle w:val="VerbatimChar"/>
        </w:rPr>
        <w:t xml:space="preserve">dryRun=true</w:t>
      </w:r>
      <w:r>
        <w:t xml:space="preserve"> </w:t>
      </w:r>
      <w:r>
        <w:t xml:space="preserve">и проходит проверки без записи в целевую БД. Фактическое применение требует снять dry-run и явно разрешить запись. При применении вызывается</w:t>
      </w:r>
      <w:r>
        <w:t xml:space="preserve"> </w:t>
      </w:r>
      <w:r>
        <w:rPr>
          <w:rStyle w:val="VerbatimChar"/>
        </w:rPr>
        <w:t xml:space="preserve">AI::ApplyDraft()</w:t>
      </w:r>
      <w:r>
        <w:t xml:space="preserve">: проверяются владелец черновика, approved review, совпадение target, idempotency key, право</w:t>
      </w:r>
      <w:r>
        <w:t xml:space="preserve"> </w:t>
      </w:r>
      <w:r>
        <w:rPr>
          <w:rStyle w:val="VerbatimChar"/>
        </w:rPr>
        <w:t xml:space="preserve">EDIT</w:t>
      </w:r>
      <w:r>
        <w:t xml:space="preserve"> </w:t>
      </w:r>
      <w:r>
        <w:t xml:space="preserve">на целевую БД, затем запись сохраняется штатным</w:t>
      </w:r>
      <w:r>
        <w:t xml:space="preserve"> </w:t>
      </w:r>
      <w:r>
        <w:rPr>
          <w:rStyle w:val="VerbatimChar"/>
        </w:rPr>
        <w:t xml:space="preserve">SaveAndUpdateRecord</w:t>
      </w:r>
      <w:r>
        <w:t xml:space="preserve">.</w:t>
      </w:r>
    </w:p>
    <w:p>
      <w:pPr>
        <w:pStyle w:val="BodyText"/>
      </w:pPr>
      <w:r>
        <w:t xml:space="preserve">Для ИМИДЖ-сценария черновик не создает новую запись и не переносит данные в другую БД. Он содержит полное предлагаемое состояние исходной записи и дополняет только отсутствующие библиографические поля в той же БД и с тем же MFN. В карточке проверки рядом показываются изображения лицевой и оборотной стороны, исходный распознанный текст, отдельная реконструкция для AI-разбора, добавляемые поля, источник evidence, сохраненные существующие значения и возможные дубли. Реконструкция не записывается в поле</w:t>
      </w:r>
      <w:r>
        <w:t xml:space="preserve"> </w:t>
      </w:r>
      <w:r>
        <w:rPr>
          <w:rStyle w:val="VerbatimChar"/>
        </w:rPr>
        <w:t xml:space="preserve">22</w:t>
      </w:r>
      <w:r>
        <w:t xml:space="preserve">. Перед фактическим применением дополнительно проверяется версия исходной записи; если другой пользователь успел ее изменить, черновик блокируется и должен быть сформирован заново.</w:t>
      </w:r>
    </w:p>
    <w:p>
      <w:pPr>
        <w:pStyle w:val="BodyText"/>
      </w:pPr>
      <w:r>
        <w:t xml:space="preserve">Отдельный нижний список всех AI-черновиков на странице не выводится: он мешал рабочему сценарию проверки. Черновик открывается в контексте выбранной review-задачи. Черновик со статусом</w:t>
      </w:r>
      <w:r>
        <w:t xml:space="preserve"> </w:t>
      </w:r>
      <w:r>
        <w:rPr>
          <w:rStyle w:val="VerbatimChar"/>
        </w:rPr>
        <w:t xml:space="preserve">applied</w:t>
      </w:r>
      <w:r>
        <w:t xml:space="preserve"> </w:t>
      </w:r>
      <w:r>
        <w:t xml:space="preserve">повторно применяется только идемпотентно с тем же ключом; повтор с другим ключом должен блокироваться.</w:t>
      </w:r>
    </w:p>
    <w:bookmarkEnd w:id="15"/>
    <w:bookmarkStart w:id="16" w:name="aiagent"/>
    <w:p>
      <w:pPr>
        <w:pStyle w:val="Heading2"/>
      </w:pPr>
      <w:r>
        <w:t xml:space="preserve">8. AI/Agent</w:t>
      </w:r>
    </w:p>
    <w:p>
      <w:pPr>
        <w:pStyle w:val="FirstParagraph"/>
      </w:pPr>
      <w:r>
        <w:t xml:space="preserve">Адрес:</w:t>
      </w:r>
      <w:r>
        <w:t xml:space="preserve"> </w:t>
      </w:r>
      <w:r>
        <w:rPr>
          <w:rStyle w:val="VerbatimChar"/>
        </w:rPr>
        <w:t xml:space="preserve">?id=AI/Agent</w:t>
      </w:r>
      <w:r>
        <w:t xml:space="preserve">.</w:t>
      </w:r>
    </w:p>
    <w:p>
      <w:pPr>
        <w:pStyle w:val="BodyText"/>
      </w:pPr>
      <w:r>
        <w:t xml:space="preserve">Страница управляет агентными сессиями и не входит в общую навигацию рабочих AI-страниц. Штатный вход для администратора - кнопка</w:t>
      </w:r>
      <w:r>
        <w:t xml:space="preserve"> </w:t>
      </w:r>
      <w:r>
        <w:t xml:space="preserve">“Консоль агентных сессий AI”</w:t>
      </w:r>
      <w:r>
        <w:t xml:space="preserve"> </w:t>
      </w: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в АРМ Администратор. Блок</w:t>
      </w:r>
      <w:r>
        <w:t xml:space="preserve"> </w:t>
      </w:r>
      <w:r>
        <w:t xml:space="preserve">“Новая сессия”</w:t>
      </w:r>
      <w:r>
        <w:t xml:space="preserve"> </w:t>
      </w:r>
      <w:r>
        <w:t xml:space="preserve">принимает: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scenario</w:t>
      </w:r>
      <w:r>
        <w:t xml:space="preserve"> </w:t>
      </w:r>
      <w:r>
        <w:t xml:space="preserve">- идентификатор сценария, например</w:t>
      </w:r>
      <w:r>
        <w:t xml:space="preserve"> </w:t>
      </w:r>
      <w:r>
        <w:rPr>
          <w:rStyle w:val="VerbatimChar"/>
        </w:rPr>
        <w:t xml:space="preserve">manual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imageCatalog.toBibDraft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goal</w:t>
      </w:r>
      <w:r>
        <w:t xml:space="preserve"> </w:t>
      </w:r>
      <w:r>
        <w:t xml:space="preserve">- цель сессии.</w:t>
      </w:r>
    </w:p>
    <w:p>
      <w:pPr>
        <w:pStyle w:val="FirstParagraph"/>
      </w:pPr>
      <w:r>
        <w:t xml:space="preserve">После создания вызывается</w:t>
      </w:r>
      <w:r>
        <w:t xml:space="preserve"> </w:t>
      </w:r>
      <w:r>
        <w:rPr>
          <w:rStyle w:val="VerbatimChar"/>
        </w:rPr>
        <w:t xml:space="preserve">AI::CreateAgentSession()</w:t>
      </w:r>
      <w:r>
        <w:t xml:space="preserve">. В блоке</w:t>
      </w:r>
      <w:r>
        <w:t xml:space="preserve"> </w:t>
      </w:r>
      <w:r>
        <w:t xml:space="preserve">“Сессии”</w:t>
      </w:r>
      <w:r>
        <w:t xml:space="preserve"> </w:t>
      </w:r>
      <w:r>
        <w:t xml:space="preserve">выводятся статус, сценарий, выбранная модель, время обновления и ссылка на открытие сессии. Для открытой сессии показывается полный JSON сессии, шагов и памяти.</w:t>
      </w:r>
    </w:p>
    <w:p>
      <w:pPr>
        <w:pStyle w:val="BodyText"/>
      </w:pPr>
      <w:r>
        <w:t xml:space="preserve">Доступные действия открытой сессии:</w:t>
      </w:r>
    </w:p>
    <w:p>
      <w:pPr>
        <w:pStyle w:val="Compact"/>
        <w:numPr>
          <w:ilvl w:val="0"/>
          <w:numId w:val="1006"/>
        </w:numPr>
      </w:pPr>
      <w:r>
        <w:t xml:space="preserve">“Выполнить следующий шаг”</w:t>
      </w:r>
      <w:r>
        <w:t xml:space="preserve"> </w:t>
      </w:r>
      <w:r>
        <w:t xml:space="preserve">- вызывает</w:t>
      </w:r>
      <w:r>
        <w:t xml:space="preserve"> </w:t>
      </w:r>
      <w:r>
        <w:rPr>
          <w:rStyle w:val="VerbatimChar"/>
        </w:rPr>
        <w:t xml:space="preserve">AI::ExecuteAgentStep()</w:t>
      </w:r>
      <w:r>
        <w:t xml:space="preserve">, по умолчанию с</w:t>
      </w:r>
      <w:r>
        <w:t xml:space="preserve"> </w:t>
      </w:r>
      <w:r>
        <w:rPr>
          <w:rStyle w:val="VerbatimChar"/>
        </w:rPr>
        <w:t xml:space="preserve">dryRun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“Пауза”</w:t>
      </w:r>
      <w:r>
        <w:t xml:space="preserve"> </w:t>
      </w:r>
      <w:r>
        <w:t xml:space="preserve">- переводит сессию в паузу;</w:t>
      </w:r>
    </w:p>
    <w:p>
      <w:pPr>
        <w:pStyle w:val="Compact"/>
        <w:numPr>
          <w:ilvl w:val="0"/>
          <w:numId w:val="1006"/>
        </w:numPr>
      </w:pPr>
      <w:r>
        <w:t xml:space="preserve">“Возобновить”</w:t>
      </w:r>
      <w:r>
        <w:t xml:space="preserve"> </w:t>
      </w:r>
      <w:r>
        <w:t xml:space="preserve">- снимает паузу;</w:t>
      </w:r>
    </w:p>
    <w:p>
      <w:pPr>
        <w:pStyle w:val="Compact"/>
        <w:numPr>
          <w:ilvl w:val="0"/>
          <w:numId w:val="1006"/>
        </w:numPr>
      </w:pPr>
      <w:r>
        <w:t xml:space="preserve">“Архивировать”</w:t>
      </w:r>
      <w:r>
        <w:t xml:space="preserve"> </w:t>
      </w:r>
      <w:r>
        <w:t xml:space="preserve">- завершает сессию с текстовым итогом.</w:t>
      </w:r>
    </w:p>
    <w:p>
      <w:pPr>
        <w:pStyle w:val="FirstParagraph"/>
      </w:pPr>
      <w:r>
        <w:t xml:space="preserve">Если шаг создает review-задачу, агент должен остановиться в состоянии ожидания подтверждения. Применение результата выполняется не на странице агента, а через</w:t>
      </w:r>
      <w:r>
        <w:t xml:space="preserve"> </w:t>
      </w:r>
      <w:r>
        <w:rPr>
          <w:rStyle w:val="VerbatimChar"/>
        </w:rPr>
        <w:t xml:space="preserve">AI/Reviews</w:t>
      </w:r>
      <w:r>
        <w:t xml:space="preserve">.</w:t>
      </w:r>
    </w:p>
    <w:bookmarkEnd w:id="16"/>
    <w:bookmarkStart w:id="17" w:name="сценарий-имидж-в-арм-каталогизатор"/>
    <w:p>
      <w:pPr>
        <w:pStyle w:val="Heading2"/>
      </w:pPr>
      <w:r>
        <w:t xml:space="preserve">9. Сценарий ИМИДЖ в АРМ Каталогизатор</w:t>
      </w:r>
    </w:p>
    <w:p>
      <w:pPr>
        <w:pStyle w:val="FirstParagraph"/>
      </w:pPr>
      <w:r>
        <w:t xml:space="preserve">Пользователь выбирает запись в БД, разрешенной профилем</w:t>
      </w:r>
      <w:r>
        <w:t xml:space="preserve"> </w:t>
      </w:r>
      <w:r>
        <w:rPr>
          <w:rStyle w:val="VerbatimChar"/>
        </w:rPr>
        <w:t xml:space="preserve">imageCatalog.default</w:t>
      </w:r>
      <w:r>
        <w:t xml:space="preserve">, и нажимает подписанную кнопку</w:t>
      </w:r>
      <w:r>
        <w:t xml:space="preserve"> </w:t>
      </w:r>
      <w:r>
        <w:t xml:space="preserve">“AI-черновик”</w:t>
      </w:r>
      <w:r>
        <w:t xml:space="preserve"> </w:t>
      </w:r>
      <w:r>
        <w:t xml:space="preserve">в начале панели действий списка. DBN и MFN берутся из текущей записи автоматически; техническая страница</w:t>
      </w:r>
      <w:r>
        <w:t xml:space="preserve"> </w:t>
      </w:r>
      <w:r>
        <w:rPr>
          <w:rStyle w:val="VerbatimChar"/>
        </w:rPr>
        <w:t xml:space="preserve">AI/ImageCatalog</w:t>
      </w:r>
      <w:r>
        <w:t xml:space="preserve"> </w:t>
      </w:r>
      <w:r>
        <w:t xml:space="preserve">больше не используется.</w:t>
      </w:r>
    </w:p>
    <w:p>
      <w:pPr>
        <w:pStyle w:val="BodyText"/>
      </w:pPr>
      <w:r>
        <w:t xml:space="preserve">Действие немедленно ставит подписанную задачу</w:t>
      </w:r>
      <w:r>
        <w:t xml:space="preserve"> </w:t>
      </w:r>
      <w:r>
        <w:rPr>
          <w:rStyle w:val="VerbatimChar"/>
        </w:rPr>
        <w:t xml:space="preserve">AI/CreateImageCatalogDraftQueue</w:t>
      </w:r>
      <w:r>
        <w:t xml:space="preserve"> </w:t>
      </w:r>
      <w:r>
        <w:t xml:space="preserve">в Queue и открывает штатный монитор. Worker вызывает инструмент</w:t>
      </w:r>
      <w:r>
        <w:t xml:space="preserve"> </w:t>
      </w:r>
      <w:r>
        <w:rPr>
          <w:rStyle w:val="VerbatimChar"/>
        </w:rPr>
        <w:t xml:space="preserve">imageCatalog.toBibDraft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autoCreateReview=true</w:t>
      </w:r>
      <w:r>
        <w:t xml:space="preserve">,</w:t>
      </w:r>
      <w:r>
        <w:t xml:space="preserve"> </w:t>
      </w:r>
      <w:r>
        <w:rPr>
          <w:rStyle w:val="VerbatimChar"/>
        </w:rPr>
        <w:t xml:space="preserve">reviewOnIssuesOnly=false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allowDraftWrite=true</w:t>
      </w:r>
      <w:r>
        <w:t xml:space="preserve">; в прогрессе отдельно отображаются сбор кандидатов, контролируемая реконструкция OCR, classification, extraction, verifier, evidence mapping, поиск дублей, draft и review. Инструмент собирает</w:t>
      </w:r>
      <w:r>
        <w:t xml:space="preserve"> </w:t>
      </w:r>
      <w:r>
        <w:rPr>
          <w:rStyle w:val="VerbatimChar"/>
        </w:rPr>
        <w:t xml:space="preserve">22</w:t>
      </w:r>
      <w:r>
        <w:t xml:space="preserve">, координатный</w:t>
      </w:r>
      <w:r>
        <w:t xml:space="preserve"> </w:t>
      </w:r>
      <w:r>
        <w:rPr>
          <w:rStyle w:val="VerbatimChar"/>
        </w:rPr>
        <w:t xml:space="preserve">953</w:t>
      </w:r>
      <w:r>
        <w:t xml:space="preserve"> </w:t>
      </w:r>
      <w:r>
        <w:t xml:space="preserve">и принятые OCR-артефакты, восстанавливает читаемую структуру без изменения исходных полей, определяет рабочий лист, извлекает библиографические элементы локальной JSON-моделью и независимыми правилами и подтверждает значения конкретными исходными OCR-кандидатами. Цель черновика всегда совпадает с источником: та же БД и тот же MFN. Существующие поля изображения и уже заполненные библиографические значения сохраняются.</w:t>
      </w:r>
    </w:p>
    <w:p>
      <w:pPr>
        <w:pStyle w:val="BodyText"/>
      </w:pPr>
      <w:r>
        <w:t xml:space="preserve">После завершения Queue короткий</w:t>
      </w:r>
      <w:r>
        <w:t xml:space="preserve"> </w:t>
      </w:r>
      <w:r>
        <w:rPr>
          <w:rStyle w:val="VerbatimChar"/>
        </w:rPr>
        <w:t xml:space="preserve">AI/OpenImageCatalogDraft</w:t>
      </w:r>
      <w:r>
        <w:t xml:space="preserve"> </w:t>
      </w:r>
      <w:r>
        <w:t xml:space="preserve">под текущей сессией проверяет владельца и открывает модальное ExtJS-окно именно текущей операции. Оно показывает DBN/MFN, определенный тип и его основание, базовую версию записи, этапы pipeline, использованную модель или fallback, результат реконструкции, confidence/evidence, идентификатор OCR-кандидата, OCR-зону и строки каждого поля, обе стороны карточки, исходный и восстановленный тексты, предупреждения и возможные дубли. Кнопка</w:t>
      </w:r>
      <w:r>
        <w:t xml:space="preserve"> </w:t>
      </w:r>
      <w:r>
        <w:t xml:space="preserve">“Исправить поля”</w:t>
      </w:r>
      <w:r>
        <w:t xml:space="preserve"> </w:t>
      </w:r>
      <w:r>
        <w:t xml:space="preserve">открывает редактируемую таблицу уже предложенных значений; при approval исправления применяются к draft и сохраняются вместе с исходным предложением. Кнопка</w:t>
      </w:r>
      <w:r>
        <w:t xml:space="preserve"> </w:t>
      </w:r>
      <w:r>
        <w:t xml:space="preserve">“Утвердить и записать”</w:t>
      </w:r>
      <w:r>
        <w:t xml:space="preserve"> </w:t>
      </w:r>
      <w:r>
        <w:t xml:space="preserve">одним явно подтвержденным действием утверждает review и вызывает</w:t>
      </w:r>
      <w:r>
        <w:t xml:space="preserve"> </w:t>
      </w:r>
      <w:r>
        <w:rPr>
          <w:rStyle w:val="VerbatimChar"/>
        </w:rPr>
        <w:t xml:space="preserve">ApplyDraft</w:t>
      </w:r>
      <w:r>
        <w:t xml:space="preserve"> </w:t>
      </w:r>
      <w:r>
        <w:t xml:space="preserve">с записью в ту же запись; кнопка</w:t>
      </w:r>
      <w:r>
        <w:t xml:space="preserve"> </w:t>
      </w:r>
      <w:r>
        <w:t xml:space="preserve">“Отклонить”</w:t>
      </w:r>
      <w:r>
        <w:t xml:space="preserve"> </w:t>
      </w:r>
      <w:r>
        <w:t xml:space="preserve">оставляет запись без изменений. Повторный запуск для неизменившейся записи переиспользует существующий черновик и review-задачу. Кнопка</w:t>
      </w:r>
      <w:r>
        <w:t xml:space="preserve"> </w:t>
      </w:r>
      <w:r>
        <w:t xml:space="preserve">“Пересоздать черновик”</w:t>
      </w:r>
      <w:r>
        <w:t xml:space="preserve"> </w:t>
      </w:r>
      <w:r>
        <w:t xml:space="preserve">ставит повторный анализ с</w:t>
      </w:r>
      <w:r>
        <w:t xml:space="preserve"> </w:t>
      </w:r>
      <w:r>
        <w:rPr>
          <w:rStyle w:val="VerbatimChar"/>
        </w:rPr>
        <w:t xml:space="preserve">forceNew=true</w:t>
      </w:r>
      <w:r>
        <w:t xml:space="preserve"> </w:t>
      </w:r>
      <w:r>
        <w:t xml:space="preserve">в Queue и заменяет окно после готовности новой review-операции; прежний черновик не удаляется. Кнопка</w:t>
      </w:r>
      <w:r>
        <w:t xml:space="preserve"> </w:t>
      </w:r>
      <w:r>
        <w:t xml:space="preserve">“Распознать повторно”</w:t>
      </w:r>
      <w:r>
        <w:t xml:space="preserve"> </w:t>
      </w:r>
      <w:r>
        <w:t xml:space="preserve">показывает штатный монитор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и запускает FT OCR v2: preprocessing 2x, варианты</w:t>
      </w:r>
      <w:r>
        <w:t xml:space="preserve"> </w:t>
      </w:r>
      <w:r>
        <w:rPr>
          <w:rStyle w:val="VerbatimChar"/>
        </w:rPr>
        <w:t xml:space="preserve">PSM 3/4/6/11</w:t>
      </w:r>
      <w:r>
        <w:t xml:space="preserve">, языковые кандидаты и сравнение с</w:t>
      </w:r>
      <w:r>
        <w:t xml:space="preserve"> </w:t>
      </w:r>
      <w:r>
        <w:rPr>
          <w:rStyle w:val="VerbatimChar"/>
        </w:rPr>
        <w:t xml:space="preserve">22</w:t>
      </w:r>
      <w:r>
        <w:t xml:space="preserve">/</w:t>
      </w:r>
      <w:r>
        <w:rPr>
          <w:rStyle w:val="VerbatimChar"/>
        </w:rPr>
        <w:t xml:space="preserve">953</w:t>
      </w:r>
      <w:r>
        <w:t xml:space="preserve">. Новый текст заменяет</w:t>
      </w:r>
      <w:r>
        <w:t xml:space="preserve"> </w:t>
      </w:r>
      <w:r>
        <w:rPr>
          <w:rStyle w:val="VerbatimChar"/>
        </w:rPr>
        <w:t xml:space="preserve">22</w:t>
      </w:r>
      <w:r>
        <w:t xml:space="preserve"> </w:t>
      </w:r>
      <w:r>
        <w:t xml:space="preserve">только при улучшении, низкокачественная сторона может быть пропущена; manifest v2 хранит метрики, решение, кандидатов и валидный координатный TSV. После проверки ставится создание нового черновика. Общая страница</w:t>
      </w:r>
      <w:r>
        <w:t xml:space="preserve"> </w:t>
      </w:r>
      <w:r>
        <w:rPr>
          <w:rStyle w:val="VerbatimChar"/>
        </w:rPr>
        <w:t xml:space="preserve">AI/Reviews</w:t>
      </w:r>
      <w:r>
        <w:t xml:space="preserve"> </w:t>
      </w:r>
      <w:r>
        <w:t xml:space="preserve">остается доступной для очереди и расширенной диагностики review-задач, но для штатного ИМИДЖ-сценария переход на нее не требуется.</w:t>
      </w:r>
    </w:p>
    <w:bookmarkEnd w:id="17"/>
    <w:bookmarkStart w:id="18" w:name="связанные-help-разделы"/>
    <w:p>
      <w:pPr>
        <w:pStyle w:val="Heading2"/>
      </w:pPr>
      <w:r>
        <w:t xml:space="preserve">10. Связанные Help-разделы</w:t>
      </w:r>
    </w:p>
    <w:p>
      <w:pPr>
        <w:pStyle w:val="Compact"/>
        <w:numPr>
          <w:ilvl w:val="0"/>
          <w:numId w:val="1007"/>
        </w:numPr>
      </w:pPr>
      <w:r>
        <w:t xml:space="preserve">?id=Help/Show&amp;m=AI/Help/UserGuide/index</w:t>
      </w:r>
    </w:p>
    <w:p>
      <w:pPr>
        <w:pStyle w:val="Compact"/>
        <w:numPr>
          <w:ilvl w:val="0"/>
          <w:numId w:val="1007"/>
        </w:numPr>
      </w:pPr>
      <w:r>
        <w:t xml:space="preserve">?id=Help/Show&amp;m=AI/Help/AdminGuide/index</w:t>
      </w:r>
    </w:p>
    <w:p>
      <w:pPr>
        <w:pStyle w:val="Compact"/>
        <w:numPr>
          <w:ilvl w:val="0"/>
          <w:numId w:val="1007"/>
        </w:numPr>
      </w:pPr>
      <w:r>
        <w:t xml:space="preserve">?id=Help/Show&amp;m=AI/Help/DeveloperGuide/index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Страницы модуля AI</dc:title>
  <dc:creator/>
  <cp:keywords/>
  <dcterms:created xsi:type="dcterms:W3CDTF">2026-10-09T09:53:57Z</dcterms:created>
  <dcterms:modified xsi:type="dcterms:W3CDTF">2026-10-09T09:53:57Z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