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KS2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ks2"/>
    <w:p>
      <w:pPr>
        <w:pStyle w:val="Heading1"/>
      </w:pPr>
      <w:r>
        <w:t xml:space="preserve">Назначение KS2</w:t>
      </w:r>
    </w:p>
    <w:p>
      <w:pPr>
        <w:pStyle w:val="FirstParagraph"/>
      </w:pPr>
      <w:r>
        <w:rPr>
          <w:rStyle w:val="VerbatimChar"/>
        </w:rPr>
        <w:t xml:space="preserve">KS2</w:t>
      </w:r>
      <w:r>
        <w:t xml:space="preserve"> </w:t>
      </w:r>
      <w:r>
        <w:t xml:space="preserve">является карточным модулем для записей книги суммарного учета выбытия. Он использует тип записи</w:t>
      </w:r>
      <w:r>
        <w:t xml:space="preserve"> </w:t>
      </w:r>
      <w:r>
        <w:rPr>
          <w:rStyle w:val="VerbatimChar"/>
        </w:rPr>
        <w:t xml:space="preserve">KS2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запись, а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KS2</dc:title>
  <dc:creator/>
  <cp:keywords/>
  <dcterms:created xsi:type="dcterms:W3CDTF">2026-10-06T00:09:07Z</dcterms:created>
  <dcterms:modified xsi:type="dcterms:W3CDTF">2026-10-06T00:09:07Z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